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577854" w14:textId="624D3A50" w:rsidR="002F3E5D" w:rsidRPr="002F3E5D" w:rsidRDefault="002F3E5D" w:rsidP="002F3E5D">
      <w:pPr>
        <w:pStyle w:val="a3"/>
        <w:ind w:left="0"/>
        <w:contextualSpacing w:val="0"/>
        <w:jc w:val="right"/>
        <w:rPr>
          <w:rFonts w:ascii="Century Gothic" w:hAnsi="Century Gothic"/>
          <w:sz w:val="18"/>
          <w:szCs w:val="18"/>
          <w:lang w:val="uk-UA"/>
        </w:rPr>
      </w:pPr>
      <w:r w:rsidRPr="002F3E5D">
        <w:rPr>
          <w:rFonts w:ascii="Century Gothic" w:hAnsi="Century Gothic"/>
          <w:sz w:val="18"/>
          <w:szCs w:val="18"/>
          <w:lang w:val="uk-UA"/>
        </w:rPr>
        <w:t xml:space="preserve">Додаток </w:t>
      </w:r>
      <w:r w:rsidR="00D753E3">
        <w:rPr>
          <w:rFonts w:ascii="Century Gothic" w:hAnsi="Century Gothic"/>
          <w:sz w:val="18"/>
          <w:szCs w:val="18"/>
          <w:lang w:val="uk-UA"/>
        </w:rPr>
        <w:t>3</w:t>
      </w:r>
    </w:p>
    <w:p w14:paraId="7591D487" w14:textId="15192C81" w:rsidR="002F3E5D" w:rsidRPr="002F3E5D" w:rsidRDefault="002F3E5D" w:rsidP="002F3E5D">
      <w:pPr>
        <w:pStyle w:val="a5"/>
        <w:jc w:val="right"/>
        <w:rPr>
          <w:rFonts w:ascii="Century Gothic" w:hAnsi="Century Gothic"/>
          <w:sz w:val="16"/>
          <w:szCs w:val="16"/>
        </w:rPr>
      </w:pPr>
      <w:r w:rsidRPr="002F3E5D">
        <w:rPr>
          <w:rFonts w:ascii="Century Gothic" w:hAnsi="Century Gothic"/>
          <w:sz w:val="16"/>
          <w:szCs w:val="16"/>
        </w:rPr>
        <w:t xml:space="preserve">До </w:t>
      </w:r>
      <w:proofErr w:type="spellStart"/>
      <w:r w:rsidRPr="002F3E5D">
        <w:rPr>
          <w:rFonts w:ascii="Century Gothic" w:hAnsi="Century Gothic"/>
          <w:sz w:val="16"/>
          <w:szCs w:val="16"/>
        </w:rPr>
        <w:t>ПОРЯДКу</w:t>
      </w:r>
      <w:proofErr w:type="spellEnd"/>
      <w:r w:rsidRPr="002F3E5D">
        <w:rPr>
          <w:rFonts w:ascii="Century Gothic" w:hAnsi="Century Gothic"/>
          <w:sz w:val="16"/>
          <w:szCs w:val="16"/>
        </w:rPr>
        <w:t xml:space="preserve"> ПРОВЕДЕННЯ КОНКУРСУ</w:t>
      </w:r>
      <w:r w:rsidRPr="002F3E5D">
        <w:rPr>
          <w:rFonts w:ascii="Century Gothic" w:hAnsi="Century Gothic"/>
          <w:sz w:val="16"/>
          <w:szCs w:val="16"/>
          <w:lang w:val="ru-RU"/>
        </w:rPr>
        <w:t xml:space="preserve"> </w:t>
      </w:r>
      <w:r w:rsidRPr="002F3E5D">
        <w:rPr>
          <w:rFonts w:ascii="Century Gothic" w:hAnsi="Century Gothic"/>
          <w:sz w:val="16"/>
          <w:szCs w:val="16"/>
        </w:rPr>
        <w:t xml:space="preserve">З ВІДБОРУ СУБ’ЄКТІВ АУДИТОРСЬКОЇ ДІЯЛЬНОСТІ </w:t>
      </w:r>
    </w:p>
    <w:p w14:paraId="1919FD5A" w14:textId="77777777" w:rsidR="002F3E5D" w:rsidRPr="002F3E5D" w:rsidRDefault="002F3E5D" w:rsidP="002F3E5D">
      <w:pPr>
        <w:pStyle w:val="a5"/>
        <w:jc w:val="right"/>
        <w:rPr>
          <w:rFonts w:ascii="Century Gothic" w:hAnsi="Century Gothic"/>
          <w:sz w:val="16"/>
          <w:szCs w:val="16"/>
        </w:rPr>
      </w:pPr>
      <w:r w:rsidRPr="002F3E5D">
        <w:rPr>
          <w:rFonts w:ascii="Century Gothic" w:hAnsi="Century Gothic"/>
          <w:sz w:val="16"/>
          <w:szCs w:val="16"/>
        </w:rPr>
        <w:t>ДЛЯ НАДАННЯ ПОСЛУГ ОБОВ’ЯЗКОВОГО АУДИТУ ФІНАНСОВОЇ ЗВІТНОСТІ В</w:t>
      </w:r>
    </w:p>
    <w:p w14:paraId="0FADE045" w14:textId="3E9C9C03" w:rsidR="002F3E5D" w:rsidRPr="002F3E5D" w:rsidRDefault="002F3E5D" w:rsidP="002F3E5D">
      <w:pPr>
        <w:pStyle w:val="a5"/>
        <w:jc w:val="right"/>
        <w:rPr>
          <w:rFonts w:ascii="Century Gothic" w:hAnsi="Century Gothic"/>
          <w:sz w:val="16"/>
          <w:szCs w:val="16"/>
          <w:lang w:val="ru-RU"/>
        </w:rPr>
      </w:pPr>
      <w:r w:rsidRPr="002F3E5D">
        <w:rPr>
          <w:rFonts w:ascii="Century Gothic" w:hAnsi="Century Gothic"/>
          <w:sz w:val="16"/>
          <w:szCs w:val="16"/>
        </w:rPr>
        <w:t xml:space="preserve"> </w:t>
      </w:r>
      <w:r w:rsidRPr="002F3E5D">
        <w:rPr>
          <w:rStyle w:val="a6"/>
          <w:rFonts w:ascii="Century Gothic" w:eastAsia="Arial Unicode MS" w:hAnsi="Century Gothic"/>
          <w:b w:val="0"/>
          <w:bCs w:val="0"/>
          <w:sz w:val="16"/>
          <w:szCs w:val="16"/>
        </w:rPr>
        <w:t>АКЦІОНЕРНОМУ ТОВАРИСТВІ «БАНК АВАНГАРД</w:t>
      </w:r>
      <w:r w:rsidRPr="002F3E5D">
        <w:rPr>
          <w:rStyle w:val="a6"/>
          <w:rFonts w:ascii="Century Gothic" w:eastAsia="Arial Unicode MS" w:hAnsi="Century Gothic"/>
          <w:sz w:val="16"/>
          <w:szCs w:val="16"/>
        </w:rPr>
        <w:t>»</w:t>
      </w:r>
    </w:p>
    <w:p w14:paraId="1C817BC7" w14:textId="77777777" w:rsidR="002F3E5D" w:rsidRPr="001E78A3" w:rsidRDefault="002F3E5D" w:rsidP="002F3E5D">
      <w:pPr>
        <w:pStyle w:val="a3"/>
        <w:ind w:left="0"/>
        <w:contextualSpacing w:val="0"/>
        <w:jc w:val="right"/>
        <w:rPr>
          <w:rFonts w:ascii="Century Gothic" w:hAnsi="Century Gothic"/>
          <w:sz w:val="18"/>
          <w:szCs w:val="18"/>
          <w:lang w:val="uk-UA"/>
        </w:rPr>
      </w:pPr>
      <w:r w:rsidRPr="001E78A3">
        <w:rPr>
          <w:rFonts w:ascii="Century Gothic" w:hAnsi="Century Gothic"/>
          <w:noProof/>
          <w:sz w:val="18"/>
          <w:szCs w:val="18"/>
          <w:lang w:val="uk-UA"/>
        </w:rPr>
        <w:drawing>
          <wp:inline distT="0" distB="0" distL="0" distR="0" wp14:anchorId="02F26ADD" wp14:editId="28FA6512">
            <wp:extent cx="2438400" cy="876300"/>
            <wp:effectExtent l="0" t="0" r="0" b="0"/>
            <wp:docPr id="21222679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8400" cy="876300"/>
                    </a:xfrm>
                    <a:prstGeom prst="rect">
                      <a:avLst/>
                    </a:prstGeom>
                    <a:noFill/>
                    <a:ln>
                      <a:noFill/>
                    </a:ln>
                  </pic:spPr>
                </pic:pic>
              </a:graphicData>
            </a:graphic>
          </wp:inline>
        </w:drawing>
      </w:r>
    </w:p>
    <w:p w14:paraId="206AB6BD" w14:textId="77777777" w:rsidR="00D753E3" w:rsidRDefault="00D753E3" w:rsidP="00D753E3">
      <w:pPr>
        <w:autoSpaceDE w:val="0"/>
        <w:autoSpaceDN w:val="0"/>
        <w:adjustRightInd w:val="0"/>
        <w:spacing w:after="0" w:line="240" w:lineRule="auto"/>
        <w:jc w:val="center"/>
        <w:rPr>
          <w:rFonts w:ascii="Century Gothic" w:hAnsi="Century Gothic" w:cs="Times New Roman"/>
          <w:b/>
          <w:bCs/>
          <w:sz w:val="18"/>
          <w:szCs w:val="18"/>
          <w:lang w:val="uk-UA"/>
        </w:rPr>
      </w:pPr>
      <w:r w:rsidRPr="001E78A3">
        <w:rPr>
          <w:rFonts w:ascii="Century Gothic" w:hAnsi="Century Gothic" w:cs="Times New Roman"/>
          <w:b/>
          <w:bCs/>
          <w:sz w:val="18"/>
          <w:szCs w:val="18"/>
          <w:lang w:val="uk-UA"/>
        </w:rPr>
        <w:t>Анкета аудиторської фірми</w:t>
      </w:r>
    </w:p>
    <w:p w14:paraId="38F13213" w14:textId="77777777" w:rsidR="00D753E3" w:rsidRPr="001E78A3" w:rsidRDefault="00D753E3" w:rsidP="00D753E3">
      <w:pPr>
        <w:autoSpaceDE w:val="0"/>
        <w:autoSpaceDN w:val="0"/>
        <w:adjustRightInd w:val="0"/>
        <w:spacing w:after="0" w:line="240" w:lineRule="auto"/>
        <w:jc w:val="center"/>
        <w:rPr>
          <w:rFonts w:ascii="Century Gothic" w:hAnsi="Century Gothic" w:cs="Times New Roman"/>
          <w:sz w:val="18"/>
          <w:szCs w:val="18"/>
          <w:lang w:val="uk-UA"/>
        </w:rPr>
      </w:pPr>
    </w:p>
    <w:tbl>
      <w:tblPr>
        <w:tblW w:w="97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4537"/>
        <w:gridCol w:w="3119"/>
        <w:gridCol w:w="1304"/>
      </w:tblGrid>
      <w:tr w:rsidR="00D753E3" w:rsidRPr="001E78A3" w14:paraId="383ABA01" w14:textId="77777777" w:rsidTr="00376F8A">
        <w:trPr>
          <w:trHeight w:val="293"/>
        </w:trPr>
        <w:tc>
          <w:tcPr>
            <w:tcW w:w="816" w:type="dxa"/>
          </w:tcPr>
          <w:p w14:paraId="181ACC56"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 п/п</w:t>
            </w:r>
          </w:p>
        </w:tc>
        <w:tc>
          <w:tcPr>
            <w:tcW w:w="4537" w:type="dxa"/>
          </w:tcPr>
          <w:p w14:paraId="571DB304"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Питання</w:t>
            </w:r>
          </w:p>
        </w:tc>
        <w:tc>
          <w:tcPr>
            <w:tcW w:w="3119" w:type="dxa"/>
          </w:tcPr>
          <w:p w14:paraId="29698E00"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Відповідь</w:t>
            </w:r>
          </w:p>
        </w:tc>
        <w:tc>
          <w:tcPr>
            <w:tcW w:w="1304" w:type="dxa"/>
          </w:tcPr>
          <w:p w14:paraId="51795EE8"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Коментар, якщо Так</w:t>
            </w:r>
          </w:p>
        </w:tc>
      </w:tr>
      <w:tr w:rsidR="00D753E3" w:rsidRPr="001E78A3" w14:paraId="11EF0156" w14:textId="77777777" w:rsidTr="00376F8A">
        <w:trPr>
          <w:trHeight w:val="957"/>
        </w:trPr>
        <w:tc>
          <w:tcPr>
            <w:tcW w:w="816" w:type="dxa"/>
          </w:tcPr>
          <w:p w14:paraId="3FFE9C6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1.</w:t>
            </w:r>
          </w:p>
        </w:tc>
        <w:tc>
          <w:tcPr>
            <w:tcW w:w="4537" w:type="dxa"/>
          </w:tcPr>
          <w:p w14:paraId="25C294F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Чи є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власниками фінансових інструментів, емітованих Банком або юридичної особи, пов'язаної з Банком спільною власністю, фінансова звітність якої підлягає перевірці, або юридичної особи, пов'язаної з Банком спільною власністю, контролем та управлінням, крім тих, що належать Банку опосередковано через інститути спільного інвестування?</w:t>
            </w:r>
          </w:p>
        </w:tc>
        <w:tc>
          <w:tcPr>
            <w:tcW w:w="3119" w:type="dxa"/>
          </w:tcPr>
          <w:p w14:paraId="34D9FCD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29C5523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243B38CD" w14:textId="77777777" w:rsidTr="00376F8A">
        <w:trPr>
          <w:trHeight w:val="692"/>
        </w:trPr>
        <w:tc>
          <w:tcPr>
            <w:tcW w:w="816" w:type="dxa"/>
          </w:tcPr>
          <w:p w14:paraId="19130A6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2 </w:t>
            </w:r>
          </w:p>
        </w:tc>
        <w:tc>
          <w:tcPr>
            <w:tcW w:w="4537" w:type="dxa"/>
          </w:tcPr>
          <w:p w14:paraId="0A83A45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бере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участь в операціях з фінансовими інструментами, емітованими, гарантованими або іншим чином підтримуваними Банком, якому надаються аудиторські послуги, крім операцій у межах інститутів спільного інвестування? </w:t>
            </w:r>
          </w:p>
        </w:tc>
        <w:tc>
          <w:tcPr>
            <w:tcW w:w="3119" w:type="dxa"/>
          </w:tcPr>
          <w:p w14:paraId="7744153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09EEABA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2189DC8D" w14:textId="77777777" w:rsidTr="00376F8A">
        <w:trPr>
          <w:trHeight w:val="690"/>
        </w:trPr>
        <w:tc>
          <w:tcPr>
            <w:tcW w:w="816" w:type="dxa"/>
          </w:tcPr>
          <w:p w14:paraId="0EFEC6E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3 </w:t>
            </w:r>
          </w:p>
        </w:tc>
        <w:tc>
          <w:tcPr>
            <w:tcW w:w="4537" w:type="dxa"/>
          </w:tcPr>
          <w:p w14:paraId="5F202DE7"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перебував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протягом періодів, зазначених у частині першій ст.10 ЗУ Про аудит, у трудових, договірних або інших відносинах з Банком, якому надаються аудиторські послуги, що можуть призвести до конфлікту інтересів? </w:t>
            </w:r>
          </w:p>
        </w:tc>
        <w:tc>
          <w:tcPr>
            <w:tcW w:w="3119" w:type="dxa"/>
          </w:tcPr>
          <w:p w14:paraId="708DEF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10261F4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006FB3C8" w14:textId="77777777" w:rsidTr="00376F8A">
        <w:trPr>
          <w:trHeight w:val="808"/>
        </w:trPr>
        <w:tc>
          <w:tcPr>
            <w:tcW w:w="816" w:type="dxa"/>
          </w:tcPr>
          <w:p w14:paraId="40DEE23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 </w:t>
            </w:r>
          </w:p>
        </w:tc>
        <w:tc>
          <w:tcPr>
            <w:tcW w:w="4537" w:type="dxa"/>
          </w:tcPr>
          <w:p w14:paraId="41984AE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Аудитор, ключовий партнер з аудиту, посадові особи і працівники суб'єкта аудиторської діяльності та інші залучені особи, які брали участь у наданні послуг з обов'язкового аудиту фінансової звітності Банку, протягом щонайменше одного року, а у разі проведення обов'язкового аудиту фінансової звітності Банку - протягом щонайменше двох років після надання відповідних послуг, чи здійснювали наступну діяльність: </w:t>
            </w:r>
          </w:p>
        </w:tc>
        <w:tc>
          <w:tcPr>
            <w:tcW w:w="3119" w:type="dxa"/>
          </w:tcPr>
          <w:p w14:paraId="0A7DE58C" w14:textId="77777777" w:rsidR="00D753E3" w:rsidRPr="001E78A3" w:rsidRDefault="00D753E3" w:rsidP="00376F8A">
            <w:pPr>
              <w:autoSpaceDE w:val="0"/>
              <w:autoSpaceDN w:val="0"/>
              <w:adjustRightInd w:val="0"/>
              <w:spacing w:after="0" w:line="240" w:lineRule="auto"/>
              <w:jc w:val="center"/>
              <w:rPr>
                <w:rFonts w:ascii="Century Gothic" w:hAnsi="Century Gothic" w:cs="Times New Roman"/>
                <w:sz w:val="18"/>
                <w:szCs w:val="18"/>
                <w:lang w:val="uk-UA"/>
              </w:rPr>
            </w:pPr>
            <w:r w:rsidRPr="001E78A3">
              <w:rPr>
                <w:rFonts w:ascii="Century Gothic" w:hAnsi="Century Gothic" w:cs="Times New Roman"/>
                <w:sz w:val="18"/>
                <w:szCs w:val="18"/>
                <w:lang w:val="uk-UA"/>
              </w:rPr>
              <w:t>Зазначити, якщо надавалися аудиторські послуги Банку</w:t>
            </w:r>
          </w:p>
        </w:tc>
        <w:tc>
          <w:tcPr>
            <w:tcW w:w="1304" w:type="dxa"/>
          </w:tcPr>
          <w:p w14:paraId="1ADBE1BC"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пп.8 Закон про аудит </w:t>
            </w:r>
          </w:p>
        </w:tc>
      </w:tr>
      <w:tr w:rsidR="00D753E3" w:rsidRPr="001E78A3" w14:paraId="4B1D05EF" w14:textId="77777777" w:rsidTr="00376F8A">
        <w:trPr>
          <w:trHeight w:val="292"/>
        </w:trPr>
        <w:tc>
          <w:tcPr>
            <w:tcW w:w="816" w:type="dxa"/>
          </w:tcPr>
          <w:p w14:paraId="5850A1E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.1 </w:t>
            </w:r>
          </w:p>
        </w:tc>
        <w:tc>
          <w:tcPr>
            <w:tcW w:w="4537" w:type="dxa"/>
          </w:tcPr>
          <w:p w14:paraId="285FCEC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обіймали керівні посади в органі управління Банку? </w:t>
            </w:r>
          </w:p>
        </w:tc>
        <w:tc>
          <w:tcPr>
            <w:tcW w:w="3119" w:type="dxa"/>
          </w:tcPr>
          <w:p w14:paraId="7E8C352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63E108D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4322E313" w14:textId="77777777" w:rsidTr="00376F8A">
        <w:trPr>
          <w:trHeight w:val="325"/>
        </w:trPr>
        <w:tc>
          <w:tcPr>
            <w:tcW w:w="816" w:type="dxa"/>
          </w:tcPr>
          <w:p w14:paraId="337975E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.2 </w:t>
            </w:r>
          </w:p>
        </w:tc>
        <w:tc>
          <w:tcPr>
            <w:tcW w:w="4537" w:type="dxa"/>
          </w:tcPr>
          <w:p w14:paraId="55ACA463"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призначалися членом аудиторського комітету Банку? </w:t>
            </w:r>
          </w:p>
        </w:tc>
        <w:tc>
          <w:tcPr>
            <w:tcW w:w="3119" w:type="dxa"/>
          </w:tcPr>
          <w:p w14:paraId="5B2B4DC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2753564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28E2615" w14:textId="77777777" w:rsidTr="00376F8A">
        <w:trPr>
          <w:trHeight w:val="425"/>
        </w:trPr>
        <w:tc>
          <w:tcPr>
            <w:tcW w:w="816" w:type="dxa"/>
          </w:tcPr>
          <w:p w14:paraId="2C6E299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lastRenderedPageBreak/>
              <w:t>4</w:t>
            </w:r>
            <w:r w:rsidRPr="001E78A3">
              <w:rPr>
                <w:rFonts w:ascii="Century Gothic" w:hAnsi="Century Gothic" w:cs="Times New Roman"/>
                <w:sz w:val="18"/>
                <w:szCs w:val="18"/>
                <w:lang w:val="uk-UA"/>
              </w:rPr>
              <w:t xml:space="preserve">.3 </w:t>
            </w:r>
          </w:p>
        </w:tc>
        <w:tc>
          <w:tcPr>
            <w:tcW w:w="4537" w:type="dxa"/>
          </w:tcPr>
          <w:p w14:paraId="193E6FF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призначалися (були обраними) членом адміністративного або наглядового органу Банку? </w:t>
            </w:r>
          </w:p>
        </w:tc>
        <w:tc>
          <w:tcPr>
            <w:tcW w:w="3119" w:type="dxa"/>
          </w:tcPr>
          <w:p w14:paraId="0B59C54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0DF1DBE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56EA5763" w14:textId="77777777" w:rsidTr="00376F8A">
        <w:trPr>
          <w:trHeight w:val="293"/>
        </w:trPr>
        <w:tc>
          <w:tcPr>
            <w:tcW w:w="816" w:type="dxa"/>
          </w:tcPr>
          <w:p w14:paraId="72579C1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 </w:t>
            </w:r>
          </w:p>
        </w:tc>
        <w:tc>
          <w:tcPr>
            <w:tcW w:w="4537" w:type="dxa"/>
          </w:tcPr>
          <w:p w14:paraId="260BFB7E"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виконуються вимоги Закону про аудит щодо обмеження на одночасне надання Банку </w:t>
            </w:r>
          </w:p>
        </w:tc>
        <w:tc>
          <w:tcPr>
            <w:tcW w:w="3119" w:type="dxa"/>
          </w:tcPr>
          <w:p w14:paraId="34BBE239" w14:textId="77777777" w:rsidR="00D753E3" w:rsidRPr="001E78A3" w:rsidRDefault="00D753E3" w:rsidP="00376F8A">
            <w:pPr>
              <w:autoSpaceDE w:val="0"/>
              <w:autoSpaceDN w:val="0"/>
              <w:adjustRightInd w:val="0"/>
              <w:spacing w:after="0" w:line="240" w:lineRule="auto"/>
              <w:jc w:val="center"/>
              <w:rPr>
                <w:rFonts w:ascii="Century Gothic" w:hAnsi="Century Gothic" w:cs="Times New Roman"/>
                <w:sz w:val="18"/>
                <w:szCs w:val="18"/>
                <w:lang w:val="uk-UA"/>
              </w:rPr>
            </w:pPr>
            <w:r w:rsidRPr="001E78A3">
              <w:rPr>
                <w:rFonts w:ascii="Century Gothic" w:hAnsi="Century Gothic" w:cs="Times New Roman"/>
                <w:sz w:val="18"/>
                <w:szCs w:val="18"/>
                <w:lang w:val="uk-UA"/>
              </w:rPr>
              <w:t>Зазначити, якщо надавалися аудиторські послуги Банку</w:t>
            </w:r>
          </w:p>
        </w:tc>
        <w:tc>
          <w:tcPr>
            <w:tcW w:w="1304" w:type="dxa"/>
            <w:tcBorders>
              <w:bottom w:val="single" w:sz="4" w:space="0" w:color="auto"/>
            </w:tcBorders>
          </w:tcPr>
          <w:p w14:paraId="26E2693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Пп.4 Ст.6 Закон про аудит </w:t>
            </w:r>
          </w:p>
        </w:tc>
      </w:tr>
      <w:tr w:rsidR="00D753E3" w:rsidRPr="001E78A3" w14:paraId="35ABA1CA" w14:textId="77777777" w:rsidTr="00376F8A">
        <w:tblPrEx>
          <w:tblBorders>
            <w:top w:val="nil"/>
            <w:left w:val="nil"/>
            <w:bottom w:val="nil"/>
            <w:right w:val="nil"/>
          </w:tblBorders>
        </w:tblPrEx>
        <w:trPr>
          <w:trHeight w:val="892"/>
        </w:trPr>
        <w:tc>
          <w:tcPr>
            <w:tcW w:w="816" w:type="dxa"/>
            <w:tcBorders>
              <w:top w:val="single" w:sz="4" w:space="0" w:color="auto"/>
              <w:left w:val="single" w:sz="4" w:space="0" w:color="auto"/>
              <w:bottom w:val="single" w:sz="4" w:space="0" w:color="auto"/>
              <w:right w:val="single" w:sz="4" w:space="0" w:color="auto"/>
            </w:tcBorders>
          </w:tcPr>
          <w:p w14:paraId="772761F4"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.1 </w:t>
            </w:r>
          </w:p>
        </w:tc>
        <w:tc>
          <w:tcPr>
            <w:tcW w:w="4537" w:type="dxa"/>
            <w:tcBorders>
              <w:top w:val="single" w:sz="4" w:space="0" w:color="auto"/>
              <w:left w:val="single" w:sz="4" w:space="0" w:color="auto"/>
              <w:bottom w:val="single" w:sz="4" w:space="0" w:color="auto"/>
              <w:right w:val="single" w:sz="4" w:space="0" w:color="auto"/>
            </w:tcBorders>
          </w:tcPr>
          <w:p w14:paraId="3CE5CA8C"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складання податкової звітності, розрахунку податків, інших обов’язкових зборів та платежів, представництва юридичних осіб у спорах із зазначених питань; </w:t>
            </w:r>
          </w:p>
        </w:tc>
        <w:tc>
          <w:tcPr>
            <w:tcW w:w="3119" w:type="dxa"/>
            <w:tcBorders>
              <w:top w:val="single" w:sz="4" w:space="0" w:color="auto"/>
              <w:bottom w:val="single" w:sz="4" w:space="0" w:color="auto"/>
              <w:right w:val="single" w:sz="4" w:space="0" w:color="auto"/>
            </w:tcBorders>
          </w:tcPr>
          <w:p w14:paraId="56982EE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74C502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D69D807" w14:textId="77777777" w:rsidTr="00376F8A">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14:paraId="146A900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5.1.1.</w:t>
            </w:r>
          </w:p>
        </w:tc>
        <w:tc>
          <w:tcPr>
            <w:tcW w:w="4537" w:type="dxa"/>
            <w:tcBorders>
              <w:top w:val="single" w:sz="4" w:space="0" w:color="auto"/>
              <w:left w:val="single" w:sz="4" w:space="0" w:color="auto"/>
              <w:bottom w:val="single" w:sz="4" w:space="0" w:color="auto"/>
              <w:right w:val="single" w:sz="4" w:space="0" w:color="auto"/>
            </w:tcBorders>
          </w:tcPr>
          <w:p w14:paraId="57237D75"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надання консультаційних послуг з питань оподаткування, а також, у разі, коли допомога суб’єкта аудиторської діяльності не вимагається законодавством, послуг з визначення</w:t>
            </w:r>
          </w:p>
          <w:p w14:paraId="0790DE7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державних дотацій та податкових пільг;</w:t>
            </w:r>
          </w:p>
        </w:tc>
        <w:tc>
          <w:tcPr>
            <w:tcW w:w="3119" w:type="dxa"/>
            <w:tcBorders>
              <w:top w:val="single" w:sz="4" w:space="0" w:color="auto"/>
              <w:bottom w:val="single" w:sz="4" w:space="0" w:color="auto"/>
              <w:right w:val="single" w:sz="4" w:space="0" w:color="auto"/>
            </w:tcBorders>
          </w:tcPr>
          <w:p w14:paraId="5BB2BFA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736FA71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7C2180E" w14:textId="77777777" w:rsidTr="00376F8A">
        <w:tblPrEx>
          <w:tblBorders>
            <w:top w:val="nil"/>
            <w:left w:val="nil"/>
            <w:bottom w:val="nil"/>
            <w:right w:val="nil"/>
            <w:insideH w:val="none" w:sz="0" w:space="0" w:color="auto"/>
            <w:insideV w:val="none" w:sz="0" w:space="0" w:color="auto"/>
          </w:tblBorders>
        </w:tblPrEx>
        <w:trPr>
          <w:trHeight w:val="292"/>
        </w:trPr>
        <w:tc>
          <w:tcPr>
            <w:tcW w:w="816" w:type="dxa"/>
            <w:tcBorders>
              <w:top w:val="single" w:sz="4" w:space="0" w:color="auto"/>
              <w:left w:val="single" w:sz="4" w:space="0" w:color="auto"/>
              <w:bottom w:val="single" w:sz="4" w:space="0" w:color="auto"/>
              <w:right w:val="single" w:sz="4" w:space="0" w:color="auto"/>
            </w:tcBorders>
          </w:tcPr>
          <w:p w14:paraId="009140B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.2 </w:t>
            </w:r>
          </w:p>
        </w:tc>
        <w:tc>
          <w:tcPr>
            <w:tcW w:w="4537" w:type="dxa"/>
            <w:tcBorders>
              <w:top w:val="single" w:sz="4" w:space="0" w:color="auto"/>
              <w:left w:val="single" w:sz="4" w:space="0" w:color="auto"/>
              <w:bottom w:val="single" w:sz="4" w:space="0" w:color="auto"/>
              <w:right w:val="single" w:sz="4" w:space="0" w:color="auto"/>
            </w:tcBorders>
          </w:tcPr>
          <w:p w14:paraId="5F6C5A7C"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що передбачають участь у процесі прийняття управлінських рішень або виконання будь-яких функцій з управління підприємством, що становить суспільний інтерес,</w:t>
            </w:r>
          </w:p>
          <w:p w14:paraId="5AD8351E"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якому надаються послуги з обов’язкового аудиту; </w:t>
            </w:r>
          </w:p>
        </w:tc>
        <w:tc>
          <w:tcPr>
            <w:tcW w:w="3119" w:type="dxa"/>
            <w:tcBorders>
              <w:top w:val="single" w:sz="4" w:space="0" w:color="auto"/>
              <w:left w:val="single" w:sz="4" w:space="0" w:color="auto"/>
              <w:bottom w:val="single" w:sz="4" w:space="0" w:color="auto"/>
              <w:right w:val="single" w:sz="4" w:space="0" w:color="auto"/>
            </w:tcBorders>
          </w:tcPr>
          <w:p w14:paraId="337A9EA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022670C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5A81BFF4" w14:textId="77777777" w:rsidTr="00376F8A">
        <w:tblPrEx>
          <w:tblBorders>
            <w:top w:val="nil"/>
            <w:left w:val="nil"/>
            <w:bottom w:val="nil"/>
            <w:right w:val="nil"/>
            <w:insideH w:val="none" w:sz="0" w:space="0" w:color="auto"/>
            <w:insideV w:val="none" w:sz="0" w:space="0" w:color="auto"/>
          </w:tblBorders>
        </w:tblPrEx>
        <w:trPr>
          <w:trHeight w:val="293"/>
        </w:trPr>
        <w:tc>
          <w:tcPr>
            <w:tcW w:w="816" w:type="dxa"/>
            <w:tcBorders>
              <w:top w:val="single" w:sz="4" w:space="0" w:color="auto"/>
              <w:left w:val="single" w:sz="4" w:space="0" w:color="auto"/>
              <w:bottom w:val="single" w:sz="4" w:space="0" w:color="auto"/>
              <w:right w:val="single" w:sz="4" w:space="0" w:color="auto"/>
            </w:tcBorders>
          </w:tcPr>
          <w:p w14:paraId="0C2191A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.3 </w:t>
            </w:r>
          </w:p>
        </w:tc>
        <w:tc>
          <w:tcPr>
            <w:tcW w:w="4537" w:type="dxa"/>
            <w:tcBorders>
              <w:top w:val="single" w:sz="4" w:space="0" w:color="auto"/>
              <w:left w:val="single" w:sz="4" w:space="0" w:color="auto"/>
              <w:bottom w:val="single" w:sz="4" w:space="0" w:color="auto"/>
              <w:right w:val="single" w:sz="4" w:space="0" w:color="auto"/>
            </w:tcBorders>
          </w:tcPr>
          <w:p w14:paraId="7EDE7A5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ведення бухгалтерського обліку і складання фінансової звітності; </w:t>
            </w:r>
          </w:p>
        </w:tc>
        <w:tc>
          <w:tcPr>
            <w:tcW w:w="3119" w:type="dxa"/>
            <w:tcBorders>
              <w:top w:val="single" w:sz="4" w:space="0" w:color="auto"/>
              <w:bottom w:val="single" w:sz="4" w:space="0" w:color="auto"/>
              <w:right w:val="single" w:sz="4" w:space="0" w:color="auto"/>
            </w:tcBorders>
          </w:tcPr>
          <w:p w14:paraId="3808CD1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44B1226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651EAA6C" w14:textId="77777777" w:rsidTr="00376F8A">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14:paraId="3EADDB1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.4 </w:t>
            </w:r>
          </w:p>
        </w:tc>
        <w:tc>
          <w:tcPr>
            <w:tcW w:w="4537" w:type="dxa"/>
            <w:tcBorders>
              <w:top w:val="single" w:sz="4" w:space="0" w:color="auto"/>
              <w:left w:val="single" w:sz="4" w:space="0" w:color="auto"/>
              <w:bottom w:val="single" w:sz="4" w:space="0" w:color="auto"/>
              <w:right w:val="single" w:sz="4" w:space="0" w:color="auto"/>
            </w:tcBorders>
          </w:tcPr>
          <w:p w14:paraId="2EBBE1D2"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розробка та впровадження процедур внутрішнього контролю або процедур з управління ризиками, що пов’язані з формуванням фінансової інформації, а також розробка та впровадження інформаційних систем, пов’язаних з фінансовою інформацією; </w:t>
            </w:r>
          </w:p>
        </w:tc>
        <w:tc>
          <w:tcPr>
            <w:tcW w:w="3119" w:type="dxa"/>
            <w:tcBorders>
              <w:top w:val="single" w:sz="4" w:space="0" w:color="auto"/>
              <w:bottom w:val="single" w:sz="4" w:space="0" w:color="auto"/>
              <w:right w:val="single" w:sz="4" w:space="0" w:color="auto"/>
            </w:tcBorders>
          </w:tcPr>
          <w:p w14:paraId="78D2F98C"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50BC5BE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5D959625" w14:textId="77777777" w:rsidTr="00376F8A">
        <w:tblPrEx>
          <w:tblBorders>
            <w:top w:val="nil"/>
            <w:left w:val="nil"/>
            <w:bottom w:val="nil"/>
            <w:right w:val="nil"/>
            <w:insideH w:val="none" w:sz="0" w:space="0" w:color="auto"/>
            <w:insideV w:val="none" w:sz="0" w:space="0" w:color="auto"/>
          </w:tblBorders>
        </w:tblPrEx>
        <w:trPr>
          <w:trHeight w:val="692"/>
        </w:trPr>
        <w:tc>
          <w:tcPr>
            <w:tcW w:w="816" w:type="dxa"/>
            <w:tcBorders>
              <w:top w:val="single" w:sz="4" w:space="0" w:color="auto"/>
              <w:left w:val="single" w:sz="4" w:space="0" w:color="auto"/>
              <w:bottom w:val="single" w:sz="4" w:space="0" w:color="auto"/>
              <w:right w:val="single" w:sz="4" w:space="0" w:color="auto"/>
            </w:tcBorders>
          </w:tcPr>
          <w:p w14:paraId="647CD49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.5 </w:t>
            </w:r>
          </w:p>
        </w:tc>
        <w:tc>
          <w:tcPr>
            <w:tcW w:w="4537" w:type="dxa"/>
            <w:tcBorders>
              <w:top w:val="single" w:sz="4" w:space="0" w:color="auto"/>
              <w:left w:val="single" w:sz="4" w:space="0" w:color="auto"/>
              <w:bottom w:val="single" w:sz="4" w:space="0" w:color="auto"/>
              <w:right w:val="single" w:sz="4" w:space="0" w:color="auto"/>
            </w:tcBorders>
          </w:tcPr>
          <w:p w14:paraId="23F47927"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надання правової допомоги у формі: послуг юрисконсульта із забезпечення ведення господарської діяльності; ведення переговорів від імені юридичних осіб; представництва інтересів у суді; </w:t>
            </w:r>
          </w:p>
        </w:tc>
        <w:tc>
          <w:tcPr>
            <w:tcW w:w="3119" w:type="dxa"/>
            <w:tcBorders>
              <w:top w:val="single" w:sz="4" w:space="0" w:color="auto"/>
              <w:bottom w:val="single" w:sz="4" w:space="0" w:color="auto"/>
              <w:right w:val="single" w:sz="4" w:space="0" w:color="auto"/>
            </w:tcBorders>
          </w:tcPr>
          <w:p w14:paraId="74D88DE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32C8D4B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2D227850" w14:textId="77777777" w:rsidTr="00376F8A">
        <w:tblPrEx>
          <w:tblBorders>
            <w:top w:val="nil"/>
            <w:left w:val="nil"/>
            <w:bottom w:val="nil"/>
            <w:right w:val="nil"/>
            <w:insideH w:val="none" w:sz="0" w:space="0" w:color="auto"/>
            <w:insideV w:val="none" w:sz="0" w:space="0" w:color="auto"/>
          </w:tblBorders>
        </w:tblPrEx>
        <w:trPr>
          <w:trHeight w:val="824"/>
        </w:trPr>
        <w:tc>
          <w:tcPr>
            <w:tcW w:w="816" w:type="dxa"/>
            <w:tcBorders>
              <w:top w:val="single" w:sz="4" w:space="0" w:color="auto"/>
              <w:left w:val="single" w:sz="4" w:space="0" w:color="auto"/>
              <w:bottom w:val="single" w:sz="4" w:space="0" w:color="auto"/>
              <w:right w:val="single" w:sz="4" w:space="0" w:color="auto"/>
            </w:tcBorders>
          </w:tcPr>
          <w:p w14:paraId="4EADFA9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.6 </w:t>
            </w:r>
          </w:p>
        </w:tc>
        <w:tc>
          <w:tcPr>
            <w:tcW w:w="4537" w:type="dxa"/>
            <w:tcBorders>
              <w:top w:val="single" w:sz="4" w:space="0" w:color="auto"/>
              <w:left w:val="single" w:sz="4" w:space="0" w:color="auto"/>
              <w:bottom w:val="single" w:sz="4" w:space="0" w:color="auto"/>
              <w:right w:val="single" w:sz="4" w:space="0" w:color="auto"/>
            </w:tcBorders>
          </w:tcPr>
          <w:p w14:paraId="03730A9D"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кадрове забезпечення юридичних осіб у сфері бухгалтерського обліку, оподаткування та фінансів, у тому числі послуги з надання персоналу, що приймає управлінські рішення та відповідає за складання фінансової звітності; </w:t>
            </w:r>
          </w:p>
        </w:tc>
        <w:tc>
          <w:tcPr>
            <w:tcW w:w="3119" w:type="dxa"/>
            <w:tcBorders>
              <w:top w:val="single" w:sz="4" w:space="0" w:color="auto"/>
              <w:bottom w:val="single" w:sz="4" w:space="0" w:color="auto"/>
              <w:right w:val="single" w:sz="4" w:space="0" w:color="auto"/>
            </w:tcBorders>
          </w:tcPr>
          <w:p w14:paraId="6F6ACC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6F305B1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791D90F5" w14:textId="77777777" w:rsidTr="00376F8A">
        <w:tblPrEx>
          <w:tblBorders>
            <w:top w:val="nil"/>
            <w:left w:val="nil"/>
            <w:bottom w:val="nil"/>
            <w:right w:val="nil"/>
            <w:insideH w:val="none" w:sz="0" w:space="0" w:color="auto"/>
            <w:insideV w:val="none" w:sz="0" w:space="0" w:color="auto"/>
          </w:tblBorders>
        </w:tblPrEx>
        <w:trPr>
          <w:trHeight w:val="160"/>
        </w:trPr>
        <w:tc>
          <w:tcPr>
            <w:tcW w:w="816" w:type="dxa"/>
            <w:tcBorders>
              <w:top w:val="single" w:sz="4" w:space="0" w:color="auto"/>
              <w:left w:val="single" w:sz="4" w:space="0" w:color="auto"/>
              <w:bottom w:val="single" w:sz="4" w:space="0" w:color="auto"/>
              <w:right w:val="single" w:sz="4" w:space="0" w:color="auto"/>
            </w:tcBorders>
          </w:tcPr>
          <w:p w14:paraId="1E6E668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.7 </w:t>
            </w:r>
          </w:p>
        </w:tc>
        <w:tc>
          <w:tcPr>
            <w:tcW w:w="4537" w:type="dxa"/>
            <w:tcBorders>
              <w:top w:val="single" w:sz="4" w:space="0" w:color="auto"/>
              <w:left w:val="single" w:sz="4" w:space="0" w:color="auto"/>
              <w:bottom w:val="single" w:sz="4" w:space="0" w:color="auto"/>
              <w:right w:val="single" w:sz="4" w:space="0" w:color="auto"/>
            </w:tcBorders>
          </w:tcPr>
          <w:p w14:paraId="0C5F7414"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послуги з оцінки, у тому числі виконані у зв’язку з наданням </w:t>
            </w:r>
            <w:proofErr w:type="spellStart"/>
            <w:r w:rsidRPr="001E78A3">
              <w:rPr>
                <w:rFonts w:ascii="Century Gothic" w:hAnsi="Century Gothic" w:cs="Times New Roman"/>
                <w:sz w:val="18"/>
                <w:szCs w:val="18"/>
                <w:lang w:val="uk-UA"/>
              </w:rPr>
              <w:t>актуарних</w:t>
            </w:r>
            <w:proofErr w:type="spellEnd"/>
            <w:r w:rsidRPr="001E78A3">
              <w:rPr>
                <w:rFonts w:ascii="Century Gothic" w:hAnsi="Century Gothic" w:cs="Times New Roman"/>
                <w:sz w:val="18"/>
                <w:szCs w:val="18"/>
                <w:lang w:val="uk-UA"/>
              </w:rPr>
              <w:t xml:space="preserve"> послуг чи послуг супроводу судового процесу; </w:t>
            </w:r>
          </w:p>
        </w:tc>
        <w:tc>
          <w:tcPr>
            <w:tcW w:w="3119" w:type="dxa"/>
            <w:tcBorders>
              <w:top w:val="single" w:sz="4" w:space="0" w:color="auto"/>
              <w:bottom w:val="single" w:sz="4" w:space="0" w:color="auto"/>
              <w:right w:val="single" w:sz="4" w:space="0" w:color="auto"/>
            </w:tcBorders>
          </w:tcPr>
          <w:p w14:paraId="44F4D77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7FFBC7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441ABFD6" w14:textId="77777777" w:rsidTr="00376F8A">
        <w:tblPrEx>
          <w:tblBorders>
            <w:top w:val="nil"/>
            <w:left w:val="nil"/>
            <w:bottom w:val="nil"/>
            <w:right w:val="nil"/>
            <w:insideH w:val="none" w:sz="0" w:space="0" w:color="auto"/>
            <w:insideV w:val="none" w:sz="0" w:space="0" w:color="auto"/>
          </w:tblBorders>
        </w:tblPrEx>
        <w:trPr>
          <w:trHeight w:val="1090"/>
        </w:trPr>
        <w:tc>
          <w:tcPr>
            <w:tcW w:w="816" w:type="dxa"/>
            <w:tcBorders>
              <w:top w:val="single" w:sz="4" w:space="0" w:color="auto"/>
              <w:left w:val="single" w:sz="4" w:space="0" w:color="auto"/>
              <w:bottom w:val="single" w:sz="4" w:space="0" w:color="auto"/>
              <w:right w:val="single" w:sz="4" w:space="0" w:color="auto"/>
            </w:tcBorders>
          </w:tcPr>
          <w:p w14:paraId="7E4EFF6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.8 </w:t>
            </w:r>
          </w:p>
        </w:tc>
        <w:tc>
          <w:tcPr>
            <w:tcW w:w="4537" w:type="dxa"/>
            <w:tcBorders>
              <w:top w:val="single" w:sz="4" w:space="0" w:color="auto"/>
              <w:left w:val="single" w:sz="4" w:space="0" w:color="auto"/>
              <w:bottom w:val="single" w:sz="4" w:space="0" w:color="auto"/>
              <w:right w:val="single" w:sz="4" w:space="0" w:color="auto"/>
            </w:tcBorders>
          </w:tcPr>
          <w:p w14:paraId="37A95B7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послуги, пов'язані із залученням фінансування, розподілом прибутку, розробкою інвестиційної стратегії, окрім послуг з надання впевненості щодо фінансової інформації, зокрема проведення процедур, необхідних для підготовки, обговорення та випуску листів-підтверджень у зв'язку з емісією цінних паперів юридичних осіб. </w:t>
            </w:r>
          </w:p>
        </w:tc>
        <w:tc>
          <w:tcPr>
            <w:tcW w:w="3119" w:type="dxa"/>
            <w:tcBorders>
              <w:top w:val="single" w:sz="4" w:space="0" w:color="auto"/>
              <w:bottom w:val="single" w:sz="4" w:space="0" w:color="auto"/>
              <w:right w:val="single" w:sz="4" w:space="0" w:color="auto"/>
            </w:tcBorders>
          </w:tcPr>
          <w:p w14:paraId="772631C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0F517C5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2DF158B9" w14:textId="77777777" w:rsidTr="00376F8A">
        <w:tblPrEx>
          <w:tblBorders>
            <w:top w:val="nil"/>
            <w:left w:val="nil"/>
            <w:bottom w:val="nil"/>
            <w:right w:val="nil"/>
            <w:insideH w:val="none" w:sz="0" w:space="0" w:color="auto"/>
            <w:insideV w:val="none" w:sz="0" w:space="0" w:color="auto"/>
          </w:tblBorders>
        </w:tblPrEx>
        <w:trPr>
          <w:trHeight w:val="685"/>
        </w:trPr>
        <w:tc>
          <w:tcPr>
            <w:tcW w:w="816" w:type="dxa"/>
            <w:tcBorders>
              <w:top w:val="single" w:sz="4" w:space="0" w:color="auto"/>
              <w:left w:val="single" w:sz="4" w:space="0" w:color="auto"/>
              <w:bottom w:val="single" w:sz="4" w:space="0" w:color="auto"/>
              <w:right w:val="single" w:sz="4" w:space="0" w:color="auto"/>
            </w:tcBorders>
          </w:tcPr>
          <w:p w14:paraId="513E461D" w14:textId="77777777" w:rsidR="00D753E3" w:rsidRPr="001E78A3" w:rsidRDefault="00D753E3" w:rsidP="00376F8A">
            <w:pPr>
              <w:tabs>
                <w:tab w:val="center" w:pos="4677"/>
                <w:tab w:val="right" w:pos="9355"/>
              </w:tabs>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5.9.</w:t>
            </w:r>
          </w:p>
        </w:tc>
        <w:tc>
          <w:tcPr>
            <w:tcW w:w="4537" w:type="dxa"/>
            <w:tcBorders>
              <w:top w:val="single" w:sz="4" w:space="0" w:color="auto"/>
              <w:left w:val="single" w:sz="4" w:space="0" w:color="auto"/>
              <w:bottom w:val="single" w:sz="4" w:space="0" w:color="auto"/>
              <w:right w:val="single" w:sz="4" w:space="0" w:color="auto"/>
            </w:tcBorders>
          </w:tcPr>
          <w:p w14:paraId="5D14AA6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пов’язані з функцією внутрішнього аудиту Банку, якому надаються послуги з обов’язкового аудиту фінансової звітності;</w:t>
            </w:r>
          </w:p>
        </w:tc>
        <w:tc>
          <w:tcPr>
            <w:tcW w:w="3119" w:type="dxa"/>
            <w:tcBorders>
              <w:top w:val="single" w:sz="4" w:space="0" w:color="auto"/>
              <w:bottom w:val="single" w:sz="4" w:space="0" w:color="auto"/>
              <w:right w:val="single" w:sz="4" w:space="0" w:color="auto"/>
            </w:tcBorders>
          </w:tcPr>
          <w:p w14:paraId="7CDA833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65E8C59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49BB2C9D" w14:textId="77777777" w:rsidTr="00376F8A">
        <w:tblPrEx>
          <w:tblBorders>
            <w:top w:val="nil"/>
            <w:left w:val="nil"/>
            <w:bottom w:val="nil"/>
            <w:right w:val="nil"/>
            <w:insideH w:val="none" w:sz="0" w:space="0" w:color="auto"/>
            <w:insideV w:val="none" w:sz="0" w:space="0" w:color="auto"/>
          </w:tblBorders>
        </w:tblPrEx>
        <w:trPr>
          <w:trHeight w:val="729"/>
        </w:trPr>
        <w:tc>
          <w:tcPr>
            <w:tcW w:w="816" w:type="dxa"/>
            <w:tcBorders>
              <w:top w:val="single" w:sz="4" w:space="0" w:color="auto"/>
              <w:left w:val="single" w:sz="4" w:space="0" w:color="auto"/>
              <w:bottom w:val="single" w:sz="4" w:space="0" w:color="auto"/>
              <w:right w:val="single" w:sz="4" w:space="0" w:color="auto"/>
            </w:tcBorders>
          </w:tcPr>
          <w:p w14:paraId="1EE57864" w14:textId="77777777" w:rsidR="00D753E3" w:rsidRPr="001E78A3" w:rsidRDefault="00D753E3" w:rsidP="00376F8A">
            <w:pPr>
              <w:tabs>
                <w:tab w:val="center" w:pos="4677"/>
                <w:tab w:val="right" w:pos="9355"/>
              </w:tabs>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5.10</w:t>
            </w:r>
          </w:p>
        </w:tc>
        <w:tc>
          <w:tcPr>
            <w:tcW w:w="4537" w:type="dxa"/>
            <w:tcBorders>
              <w:top w:val="single" w:sz="4" w:space="0" w:color="auto"/>
              <w:left w:val="single" w:sz="4" w:space="0" w:color="auto"/>
              <w:bottom w:val="single" w:sz="4" w:space="0" w:color="auto"/>
              <w:right w:val="single" w:sz="4" w:space="0" w:color="auto"/>
            </w:tcBorders>
          </w:tcPr>
          <w:p w14:paraId="64485D3B"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пов’язані з просуванням акцій Банку, якому надаються послуги з обов’язково аудиту, торгівля чи підписка на акції Банку</w:t>
            </w:r>
          </w:p>
        </w:tc>
        <w:tc>
          <w:tcPr>
            <w:tcW w:w="3119" w:type="dxa"/>
            <w:tcBorders>
              <w:top w:val="single" w:sz="4" w:space="0" w:color="auto"/>
              <w:bottom w:val="single" w:sz="4" w:space="0" w:color="auto"/>
              <w:right w:val="single" w:sz="4" w:space="0" w:color="auto"/>
            </w:tcBorders>
          </w:tcPr>
          <w:p w14:paraId="472D968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3AF4505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C7C7729" w14:textId="77777777" w:rsidTr="00376F8A">
        <w:tblPrEx>
          <w:tblBorders>
            <w:top w:val="nil"/>
            <w:left w:val="nil"/>
            <w:bottom w:val="nil"/>
            <w:right w:val="nil"/>
            <w:insideH w:val="none" w:sz="0" w:space="0" w:color="auto"/>
            <w:insideV w:val="none" w:sz="0" w:space="0" w:color="auto"/>
          </w:tblBorders>
        </w:tblPrEx>
        <w:trPr>
          <w:trHeight w:val="428"/>
        </w:trPr>
        <w:tc>
          <w:tcPr>
            <w:tcW w:w="816" w:type="dxa"/>
            <w:tcBorders>
              <w:top w:val="single" w:sz="4" w:space="0" w:color="auto"/>
              <w:left w:val="single" w:sz="4" w:space="0" w:color="auto"/>
              <w:bottom w:val="single" w:sz="4" w:space="0" w:color="auto"/>
              <w:right w:val="single" w:sz="4" w:space="0" w:color="auto"/>
            </w:tcBorders>
          </w:tcPr>
          <w:p w14:paraId="2CAB6B6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6</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74475F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Винагорода суб'єкта аудиторської діяльності за надання послуг з аудиту фінансової звітності Банку чи залежить від надання Банку неаудиторських послуг, а також договірних відносин або домовленостей, не пов'язаних з наданням послуг з аудиту фінансової звітності? </w:t>
            </w:r>
          </w:p>
        </w:tc>
        <w:tc>
          <w:tcPr>
            <w:tcW w:w="3119" w:type="dxa"/>
            <w:tcBorders>
              <w:top w:val="single" w:sz="4" w:space="0" w:color="auto"/>
              <w:left w:val="single" w:sz="4" w:space="0" w:color="auto"/>
              <w:bottom w:val="single" w:sz="4" w:space="0" w:color="auto"/>
              <w:right w:val="single" w:sz="4" w:space="0" w:color="auto"/>
            </w:tcBorders>
          </w:tcPr>
          <w:p w14:paraId="286E178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289D350" w14:textId="77777777" w:rsidR="00D753E3" w:rsidRPr="001E78A3" w:rsidRDefault="00D753E3" w:rsidP="00376F8A">
            <w:pPr>
              <w:pStyle w:val="Default"/>
              <w:rPr>
                <w:rFonts w:ascii="Century Gothic" w:hAnsi="Century Gothic" w:cs="Times New Roman"/>
                <w:color w:val="auto"/>
                <w:sz w:val="18"/>
                <w:szCs w:val="18"/>
                <w:lang w:val="uk-UA"/>
              </w:rPr>
            </w:pPr>
            <w:r w:rsidRPr="001E78A3">
              <w:rPr>
                <w:rFonts w:ascii="Century Gothic" w:hAnsi="Century Gothic" w:cs="Times New Roman"/>
                <w:color w:val="auto"/>
                <w:sz w:val="18"/>
                <w:szCs w:val="18"/>
                <w:lang w:val="uk-UA"/>
              </w:rPr>
              <w:t xml:space="preserve">Пп.1 Ст.26 Закон про аудит </w:t>
            </w:r>
          </w:p>
        </w:tc>
      </w:tr>
      <w:tr w:rsidR="00D753E3" w:rsidRPr="001E78A3" w14:paraId="5D670C2B"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6DF4243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lastRenderedPageBreak/>
              <w:t>7</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A1EB816"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Чи надає, та скільки років поспіль суб'єкт аудиторської діяльності Банку, його материнській компанії та/або дочірнім підприємствам послуги, не пов'язані з обов'язковим аудитом фінансової звітності, крім тих, що зазначені у частині четвертій статті 6 Закону про аудит? Чи перевищує винагорода Банку, його материнській компанії та/або дочірнім підприємствам послуги, не пов'язані з обов'язковим аудитом фінансової звітності 70 відсотків середньої суми винагороди, що була отримана суб'єктом аудиторської діяльності протягом останніх трьох років поспіль за послуги з обов'язкового аудиту фінансової звітності від Банку, його материнської компанії та/або дочірніх підприємств?</w:t>
            </w:r>
          </w:p>
        </w:tc>
        <w:tc>
          <w:tcPr>
            <w:tcW w:w="3119" w:type="dxa"/>
            <w:tcBorders>
              <w:top w:val="single" w:sz="4" w:space="0" w:color="auto"/>
              <w:left w:val="single" w:sz="4" w:space="0" w:color="auto"/>
              <w:bottom w:val="single" w:sz="4" w:space="0" w:color="auto"/>
              <w:right w:val="single" w:sz="4" w:space="0" w:color="auto"/>
            </w:tcBorders>
          </w:tcPr>
          <w:p w14:paraId="1788F6F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7C7631F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Пп.3ст.26 Закон про аудит</w:t>
            </w:r>
          </w:p>
        </w:tc>
      </w:tr>
      <w:tr w:rsidR="00D753E3" w:rsidRPr="001E78A3" w14:paraId="23006D53"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554AC62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8</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30A1B68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надавались послуги з обов'язкового аудиту фінансової звітності Банку, та загальна сума винагороди, отримана від Банку, щорічно перевищувала 15 відсотків загальної суми чистого доходу від надання послуг таким суб'єктом аудиторської діяльності впродовж п'яти років поспіль? Якщо так, то надати розрахунок. </w:t>
            </w:r>
          </w:p>
        </w:tc>
        <w:tc>
          <w:tcPr>
            <w:tcW w:w="3119" w:type="dxa"/>
            <w:tcBorders>
              <w:top w:val="single" w:sz="4" w:space="0" w:color="auto"/>
              <w:left w:val="single" w:sz="4" w:space="0" w:color="auto"/>
              <w:bottom w:val="single" w:sz="4" w:space="0" w:color="auto"/>
              <w:right w:val="single" w:sz="4" w:space="0" w:color="auto"/>
            </w:tcBorders>
          </w:tcPr>
          <w:p w14:paraId="46E3BDB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9F1240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Пп.5. ст.26 Закон про аудит</w:t>
            </w:r>
          </w:p>
        </w:tc>
      </w:tr>
      <w:tr w:rsidR="00D753E3" w:rsidRPr="001E78A3" w14:paraId="2597A437"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626ECCE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9</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FB70219"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здійснює суб'єкт аудиторської діяльності, або учасник аудиторської мережі, до якої належить такий суб'єкт аудиторської діяльності, безпосередньо або опосередковано надання Банку, його материнській компанії (резиденту України)  та/або дочірнім підприємствам (резидентам України) послуги, зазначені у частині четвертій статті 6 Закону про аудит? Якщо так, то надати перелік послуг. </w:t>
            </w:r>
          </w:p>
        </w:tc>
        <w:tc>
          <w:tcPr>
            <w:tcW w:w="3119" w:type="dxa"/>
            <w:tcBorders>
              <w:top w:val="single" w:sz="4" w:space="0" w:color="auto"/>
              <w:left w:val="single" w:sz="4" w:space="0" w:color="auto"/>
              <w:bottom w:val="single" w:sz="4" w:space="0" w:color="auto"/>
              <w:right w:val="single" w:sz="4" w:space="0" w:color="auto"/>
            </w:tcBorders>
          </w:tcPr>
          <w:p w14:paraId="3AD8468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1617AEB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Пп.1 ст.27 Закон про аудит </w:t>
            </w:r>
          </w:p>
        </w:tc>
      </w:tr>
    </w:tbl>
    <w:p w14:paraId="458388C1" w14:textId="77777777" w:rsidR="00D753E3" w:rsidRPr="001E78A3" w:rsidRDefault="00D753E3" w:rsidP="00D753E3">
      <w:pPr>
        <w:autoSpaceDE w:val="0"/>
        <w:autoSpaceDN w:val="0"/>
        <w:adjustRightInd w:val="0"/>
        <w:spacing w:after="0" w:line="240" w:lineRule="auto"/>
        <w:rPr>
          <w:rFonts w:ascii="Century Gothic" w:hAnsi="Century Gothic" w:cs="Times New Roman"/>
          <w:sz w:val="18"/>
          <w:szCs w:val="18"/>
          <w:lang w:val="uk-UA"/>
        </w:rPr>
      </w:pPr>
    </w:p>
    <w:p w14:paraId="6222257C" w14:textId="77777777" w:rsidR="00D753E3" w:rsidRPr="001E78A3" w:rsidRDefault="00D753E3" w:rsidP="00D753E3">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Керівник аудиторської фірми </w:t>
      </w:r>
    </w:p>
    <w:p w14:paraId="5304E9ED" w14:textId="77777777" w:rsidR="00D753E3" w:rsidRPr="001E78A3" w:rsidRDefault="00D753E3" w:rsidP="00D753E3">
      <w:pPr>
        <w:tabs>
          <w:tab w:val="left" w:pos="1350"/>
        </w:tabs>
        <w:jc w:val="both"/>
        <w:rPr>
          <w:rFonts w:ascii="Century Gothic" w:hAnsi="Century Gothic" w:cs="Times New Roman"/>
          <w:sz w:val="18"/>
          <w:szCs w:val="18"/>
          <w:lang w:val="uk-UA"/>
        </w:rPr>
      </w:pPr>
      <w:r w:rsidRPr="001E78A3">
        <w:rPr>
          <w:rFonts w:ascii="Century Gothic" w:hAnsi="Century Gothic" w:cs="Times New Roman"/>
          <w:sz w:val="18"/>
          <w:szCs w:val="18"/>
          <w:lang w:val="uk-UA"/>
        </w:rPr>
        <w:t>Дата, підпис</w:t>
      </w:r>
    </w:p>
    <w:p w14:paraId="7E8F07CE" w14:textId="77777777" w:rsidR="00D753E3" w:rsidRPr="001E78A3" w:rsidRDefault="00D753E3" w:rsidP="00D753E3">
      <w:pPr>
        <w:tabs>
          <w:tab w:val="left" w:pos="1350"/>
        </w:tabs>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Печатка (за наявності)</w:t>
      </w:r>
    </w:p>
    <w:p w14:paraId="6E4B9773" w14:textId="141FBB8C" w:rsidR="002F3E5D" w:rsidRPr="001E78A3" w:rsidRDefault="002F3E5D" w:rsidP="00D753E3">
      <w:pPr>
        <w:pStyle w:val="a3"/>
        <w:ind w:left="0"/>
        <w:contextualSpacing w:val="0"/>
        <w:jc w:val="right"/>
        <w:rPr>
          <w:rFonts w:ascii="Century Gothic" w:hAnsi="Century Gothic"/>
          <w:sz w:val="18"/>
          <w:szCs w:val="18"/>
          <w:lang w:val="uk-UA"/>
        </w:rPr>
      </w:pPr>
    </w:p>
    <w:sectPr w:rsidR="002F3E5D" w:rsidRPr="001E7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altName w:val="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5D"/>
    <w:rsid w:val="00074C2D"/>
    <w:rsid w:val="002119FC"/>
    <w:rsid w:val="002F3E5D"/>
    <w:rsid w:val="0093261F"/>
    <w:rsid w:val="00D753E3"/>
    <w:rsid w:val="00FE343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AFE7"/>
  <w15:chartTrackingRefBased/>
  <w15:docId w15:val="{EE0ABC57-27D2-49DD-980D-BC495659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ormal bullet 2,Bullets,Heading Bullet,text bullet,List Numbers,Elenco Normale"/>
    <w:basedOn w:val="a"/>
    <w:link w:val="a4"/>
    <w:uiPriority w:val="34"/>
    <w:qFormat/>
    <w:rsid w:val="002F3E5D"/>
    <w:pPr>
      <w:spacing w:after="0" w:line="240" w:lineRule="auto"/>
      <w:ind w:left="720"/>
      <w:contextualSpacing/>
    </w:pPr>
    <w:rPr>
      <w:rFonts w:ascii="Times New Roman" w:eastAsia="Arial Unicode MS" w:hAnsi="Times New Roman" w:cs="Arial Unicode MS"/>
      <w:color w:val="000000"/>
      <w:kern w:val="0"/>
      <w:sz w:val="24"/>
      <w:szCs w:val="24"/>
      <w:u w:color="000000"/>
      <w:lang w:val="ru-RU"/>
      <w14:ligatures w14:val="none"/>
    </w:rPr>
  </w:style>
  <w:style w:type="character" w:customStyle="1" w:styleId="a4">
    <w:name w:val="Абзац списку Знак"/>
    <w:aliases w:val="Normal bullet 2 Знак,Bullets Знак,Heading Bullet Знак,text bullet Знак,List Numbers Знак,Elenco Normale Знак"/>
    <w:basedOn w:val="a0"/>
    <w:link w:val="a3"/>
    <w:uiPriority w:val="34"/>
    <w:rsid w:val="002F3E5D"/>
    <w:rPr>
      <w:rFonts w:ascii="Times New Roman" w:eastAsia="Arial Unicode MS" w:hAnsi="Times New Roman" w:cs="Arial Unicode MS"/>
      <w:color w:val="000000"/>
      <w:kern w:val="0"/>
      <w:sz w:val="24"/>
      <w:szCs w:val="24"/>
      <w:u w:color="000000"/>
      <w:lang w:val="ru-RU"/>
      <w14:ligatures w14:val="none"/>
    </w:rPr>
  </w:style>
  <w:style w:type="paragraph" w:styleId="a5">
    <w:name w:val="Normal (Web)"/>
    <w:aliases w:val="Обычный (веб)"/>
    <w:basedOn w:val="a"/>
    <w:uiPriority w:val="99"/>
    <w:unhideWhenUsed/>
    <w:rsid w:val="002F3E5D"/>
    <w:pPr>
      <w:suppressAutoHyphens/>
      <w:spacing w:after="0" w:line="276" w:lineRule="auto"/>
      <w:ind w:hanging="357"/>
      <w:contextualSpacing/>
      <w:jc w:val="both"/>
    </w:pPr>
    <w:rPr>
      <w:rFonts w:ascii="Verdana" w:eastAsia="Times New Roman" w:hAnsi="Verdana" w:cs="Times New Roman"/>
      <w:kern w:val="0"/>
      <w:sz w:val="20"/>
      <w:szCs w:val="20"/>
      <w:lang w:val="uk-UA" w:eastAsia="uk-UA"/>
      <w14:ligatures w14:val="none"/>
    </w:rPr>
  </w:style>
  <w:style w:type="character" w:styleId="a6">
    <w:name w:val="Strong"/>
    <w:uiPriority w:val="22"/>
    <w:qFormat/>
    <w:rsid w:val="002F3E5D"/>
    <w:rPr>
      <w:b/>
      <w:bCs/>
    </w:rPr>
  </w:style>
  <w:style w:type="paragraph" w:customStyle="1" w:styleId="Default">
    <w:name w:val="Default"/>
    <w:rsid w:val="00D753E3"/>
    <w:pPr>
      <w:autoSpaceDE w:val="0"/>
      <w:autoSpaceDN w:val="0"/>
      <w:adjustRightInd w:val="0"/>
      <w:spacing w:after="0" w:line="240" w:lineRule="auto"/>
    </w:pPr>
    <w:rPr>
      <w:rFonts w:ascii="Tahoma" w:hAnsi="Tahoma" w:cs="Tahoma"/>
      <w:color w:val="000000"/>
      <w:kern w:val="0"/>
      <w:sz w:val="24"/>
      <w:szCs w:val="24"/>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4211</Words>
  <Characters>2401</Characters>
  <Application>Microsoft Office Word</Application>
  <DocSecurity>0</DocSecurity>
  <Lines>20</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Tymchenko Olena</dc:creator>
  <cp:keywords/>
  <dc:description/>
  <cp:lastModifiedBy>Євгеній Мельников</cp:lastModifiedBy>
  <cp:revision>2</cp:revision>
  <dcterms:created xsi:type="dcterms:W3CDTF">2024-08-19T12:03:00Z</dcterms:created>
  <dcterms:modified xsi:type="dcterms:W3CDTF">2024-08-19T12:03:00Z</dcterms:modified>
</cp:coreProperties>
</file>