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577854" w14:textId="624D3A50" w:rsidR="002F3E5D" w:rsidRPr="002F3E5D" w:rsidRDefault="002F3E5D" w:rsidP="002F3E5D">
      <w:pPr>
        <w:pStyle w:val="a3"/>
        <w:ind w:left="0"/>
        <w:contextualSpacing w:val="0"/>
        <w:jc w:val="right"/>
        <w:rPr>
          <w:rFonts w:ascii="Century Gothic" w:hAnsi="Century Gothic"/>
          <w:sz w:val="18"/>
          <w:szCs w:val="18"/>
          <w:lang w:val="uk-UA"/>
        </w:rPr>
      </w:pPr>
      <w:r w:rsidRPr="002F3E5D">
        <w:rPr>
          <w:rFonts w:ascii="Century Gothic" w:hAnsi="Century Gothic"/>
          <w:sz w:val="18"/>
          <w:szCs w:val="18"/>
          <w:lang w:val="uk-UA"/>
        </w:rPr>
        <w:t xml:space="preserve">Додаток </w:t>
      </w:r>
      <w:r w:rsidR="00D753E3">
        <w:rPr>
          <w:rFonts w:ascii="Century Gothic" w:hAnsi="Century Gothic"/>
          <w:sz w:val="18"/>
          <w:szCs w:val="18"/>
          <w:lang w:val="uk-UA"/>
        </w:rPr>
        <w:t>3</w:t>
      </w:r>
    </w:p>
    <w:p w14:paraId="7591D487" w14:textId="15192C81" w:rsidR="002F3E5D" w:rsidRPr="002F3E5D" w:rsidRDefault="002F3E5D" w:rsidP="002F3E5D">
      <w:pPr>
        <w:pStyle w:val="a5"/>
        <w:jc w:val="right"/>
        <w:rPr>
          <w:rFonts w:ascii="Century Gothic" w:hAnsi="Century Gothic"/>
          <w:sz w:val="16"/>
          <w:szCs w:val="16"/>
        </w:rPr>
      </w:pPr>
      <w:r w:rsidRPr="002F3E5D">
        <w:rPr>
          <w:rFonts w:ascii="Century Gothic" w:hAnsi="Century Gothic"/>
          <w:sz w:val="16"/>
          <w:szCs w:val="16"/>
        </w:rPr>
        <w:t xml:space="preserve">До </w:t>
      </w:r>
      <w:proofErr w:type="spellStart"/>
      <w:r w:rsidRPr="002F3E5D">
        <w:rPr>
          <w:rFonts w:ascii="Century Gothic" w:hAnsi="Century Gothic"/>
          <w:sz w:val="16"/>
          <w:szCs w:val="16"/>
        </w:rPr>
        <w:t>ПОРЯДК</w:t>
      </w:r>
      <w:r w:rsidRPr="002F3E5D">
        <w:rPr>
          <w:rFonts w:ascii="Century Gothic" w:hAnsi="Century Gothic"/>
          <w:sz w:val="16"/>
          <w:szCs w:val="16"/>
        </w:rPr>
        <w:t>у</w:t>
      </w:r>
      <w:proofErr w:type="spellEnd"/>
      <w:r w:rsidRPr="002F3E5D">
        <w:rPr>
          <w:rFonts w:ascii="Century Gothic" w:hAnsi="Century Gothic"/>
          <w:sz w:val="16"/>
          <w:szCs w:val="16"/>
        </w:rPr>
        <w:t xml:space="preserve"> ПРОВЕДЕННЯ КОНКУРСУ</w:t>
      </w:r>
      <w:r w:rsidRPr="002F3E5D">
        <w:rPr>
          <w:rFonts w:ascii="Century Gothic" w:hAnsi="Century Gothic"/>
          <w:sz w:val="16"/>
          <w:szCs w:val="16"/>
          <w:lang w:val="ru-RU"/>
        </w:rPr>
        <w:t xml:space="preserve"> </w:t>
      </w:r>
      <w:r w:rsidRPr="002F3E5D">
        <w:rPr>
          <w:rFonts w:ascii="Century Gothic" w:hAnsi="Century Gothic"/>
          <w:sz w:val="16"/>
          <w:szCs w:val="16"/>
        </w:rPr>
        <w:t xml:space="preserve">З ВІДБОРУ СУБ’ЄКТІВ АУДИТОРСЬКОЇ ДІЯЛЬНОСТІ </w:t>
      </w:r>
    </w:p>
    <w:p w14:paraId="1919FD5A" w14:textId="77777777" w:rsidR="002F3E5D" w:rsidRPr="002F3E5D" w:rsidRDefault="002F3E5D" w:rsidP="002F3E5D">
      <w:pPr>
        <w:pStyle w:val="a5"/>
        <w:jc w:val="right"/>
        <w:rPr>
          <w:rFonts w:ascii="Century Gothic" w:hAnsi="Century Gothic"/>
          <w:sz w:val="16"/>
          <w:szCs w:val="16"/>
        </w:rPr>
      </w:pPr>
      <w:r w:rsidRPr="002F3E5D">
        <w:rPr>
          <w:rFonts w:ascii="Century Gothic" w:hAnsi="Century Gothic"/>
          <w:sz w:val="16"/>
          <w:szCs w:val="16"/>
        </w:rPr>
        <w:t>ДЛЯ НАДАННЯ ПОСЛУГ ОБОВ’ЯЗКОВОГО АУДИТУ ФІНАНСОВОЇ ЗВІТНОСТІ В</w:t>
      </w:r>
    </w:p>
    <w:p w14:paraId="0FADE045" w14:textId="3E9C9C03" w:rsidR="002F3E5D" w:rsidRPr="002F3E5D" w:rsidRDefault="002F3E5D" w:rsidP="002F3E5D">
      <w:pPr>
        <w:pStyle w:val="a5"/>
        <w:jc w:val="right"/>
        <w:rPr>
          <w:rFonts w:ascii="Century Gothic" w:hAnsi="Century Gothic"/>
          <w:sz w:val="16"/>
          <w:szCs w:val="16"/>
          <w:lang w:val="ru-RU"/>
        </w:rPr>
      </w:pPr>
      <w:r w:rsidRPr="002F3E5D">
        <w:rPr>
          <w:rFonts w:ascii="Century Gothic" w:hAnsi="Century Gothic"/>
          <w:sz w:val="16"/>
          <w:szCs w:val="16"/>
        </w:rPr>
        <w:t xml:space="preserve"> </w:t>
      </w:r>
      <w:r w:rsidRPr="002F3E5D">
        <w:rPr>
          <w:rStyle w:val="a6"/>
          <w:rFonts w:ascii="Century Gothic" w:eastAsia="Arial Unicode MS" w:hAnsi="Century Gothic"/>
          <w:b w:val="0"/>
          <w:bCs w:val="0"/>
          <w:sz w:val="16"/>
          <w:szCs w:val="16"/>
        </w:rPr>
        <w:t>АКЦІОНЕРНОМУ ТОВАРИСТВІ «БАНК АВАНГАРД</w:t>
      </w:r>
      <w:r w:rsidRPr="002F3E5D">
        <w:rPr>
          <w:rStyle w:val="a6"/>
          <w:rFonts w:ascii="Century Gothic" w:eastAsia="Arial Unicode MS" w:hAnsi="Century Gothic"/>
          <w:sz w:val="16"/>
          <w:szCs w:val="16"/>
        </w:rPr>
        <w:t>»</w:t>
      </w:r>
    </w:p>
    <w:p w14:paraId="1C817BC7" w14:textId="77777777" w:rsidR="002F3E5D" w:rsidRPr="001E78A3" w:rsidRDefault="002F3E5D" w:rsidP="002F3E5D">
      <w:pPr>
        <w:pStyle w:val="a3"/>
        <w:ind w:left="0"/>
        <w:contextualSpacing w:val="0"/>
        <w:jc w:val="right"/>
        <w:rPr>
          <w:rFonts w:ascii="Century Gothic" w:hAnsi="Century Gothic"/>
          <w:sz w:val="18"/>
          <w:szCs w:val="18"/>
          <w:lang w:val="uk-UA"/>
        </w:rPr>
      </w:pPr>
      <w:r w:rsidRPr="001E78A3">
        <w:rPr>
          <w:rFonts w:ascii="Century Gothic" w:hAnsi="Century Gothic"/>
          <w:noProof/>
          <w:sz w:val="18"/>
          <w:szCs w:val="18"/>
          <w:lang w:val="uk-UA"/>
        </w:rPr>
        <w:drawing>
          <wp:inline distT="0" distB="0" distL="0" distR="0" wp14:anchorId="02F26ADD" wp14:editId="28FA6512">
            <wp:extent cx="2438400" cy="876300"/>
            <wp:effectExtent l="0" t="0" r="0" b="0"/>
            <wp:docPr id="21222679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38400" cy="876300"/>
                    </a:xfrm>
                    <a:prstGeom prst="rect">
                      <a:avLst/>
                    </a:prstGeom>
                    <a:noFill/>
                    <a:ln>
                      <a:noFill/>
                    </a:ln>
                  </pic:spPr>
                </pic:pic>
              </a:graphicData>
            </a:graphic>
          </wp:inline>
        </w:drawing>
      </w:r>
    </w:p>
    <w:p w14:paraId="206AB6BD" w14:textId="77777777" w:rsidR="00D753E3" w:rsidRDefault="00D753E3" w:rsidP="00D753E3">
      <w:pPr>
        <w:autoSpaceDE w:val="0"/>
        <w:autoSpaceDN w:val="0"/>
        <w:adjustRightInd w:val="0"/>
        <w:spacing w:after="0" w:line="240" w:lineRule="auto"/>
        <w:jc w:val="center"/>
        <w:rPr>
          <w:rFonts w:ascii="Century Gothic" w:hAnsi="Century Gothic" w:cs="Times New Roman"/>
          <w:b/>
          <w:bCs/>
          <w:sz w:val="18"/>
          <w:szCs w:val="18"/>
          <w:lang w:val="uk-UA"/>
        </w:rPr>
      </w:pPr>
      <w:r w:rsidRPr="001E78A3">
        <w:rPr>
          <w:rFonts w:ascii="Century Gothic" w:hAnsi="Century Gothic" w:cs="Times New Roman"/>
          <w:b/>
          <w:bCs/>
          <w:sz w:val="18"/>
          <w:szCs w:val="18"/>
          <w:lang w:val="uk-UA"/>
        </w:rPr>
        <w:t>Анкета аудиторської фірми</w:t>
      </w:r>
    </w:p>
    <w:p w14:paraId="38F13213" w14:textId="77777777" w:rsidR="00D753E3" w:rsidRPr="001E78A3" w:rsidRDefault="00D753E3" w:rsidP="00D753E3">
      <w:pPr>
        <w:autoSpaceDE w:val="0"/>
        <w:autoSpaceDN w:val="0"/>
        <w:adjustRightInd w:val="0"/>
        <w:spacing w:after="0" w:line="240" w:lineRule="auto"/>
        <w:jc w:val="center"/>
        <w:rPr>
          <w:rFonts w:ascii="Century Gothic" w:hAnsi="Century Gothic" w:cs="Times New Roman"/>
          <w:sz w:val="18"/>
          <w:szCs w:val="18"/>
          <w:lang w:val="uk-UA"/>
        </w:rPr>
      </w:pPr>
    </w:p>
    <w:tbl>
      <w:tblPr>
        <w:tblW w:w="977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6"/>
        <w:gridCol w:w="4537"/>
        <w:gridCol w:w="3119"/>
        <w:gridCol w:w="1304"/>
      </w:tblGrid>
      <w:tr w:rsidR="00D753E3" w:rsidRPr="001E78A3" w14:paraId="383ABA01" w14:textId="77777777" w:rsidTr="00376F8A">
        <w:trPr>
          <w:trHeight w:val="293"/>
        </w:trPr>
        <w:tc>
          <w:tcPr>
            <w:tcW w:w="816" w:type="dxa"/>
          </w:tcPr>
          <w:p w14:paraId="181ACC56"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 п/п</w:t>
            </w:r>
          </w:p>
        </w:tc>
        <w:tc>
          <w:tcPr>
            <w:tcW w:w="4537" w:type="dxa"/>
          </w:tcPr>
          <w:p w14:paraId="571DB304"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Питання</w:t>
            </w:r>
          </w:p>
        </w:tc>
        <w:tc>
          <w:tcPr>
            <w:tcW w:w="3119" w:type="dxa"/>
          </w:tcPr>
          <w:p w14:paraId="29698E00"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Відповідь</w:t>
            </w:r>
          </w:p>
        </w:tc>
        <w:tc>
          <w:tcPr>
            <w:tcW w:w="1304" w:type="dxa"/>
          </w:tcPr>
          <w:p w14:paraId="51795EE8" w14:textId="77777777" w:rsidR="00D753E3" w:rsidRPr="00FC6A94" w:rsidRDefault="00D753E3" w:rsidP="00376F8A">
            <w:pPr>
              <w:autoSpaceDE w:val="0"/>
              <w:autoSpaceDN w:val="0"/>
              <w:adjustRightInd w:val="0"/>
              <w:spacing w:after="0" w:line="240" w:lineRule="auto"/>
              <w:jc w:val="center"/>
              <w:rPr>
                <w:rFonts w:ascii="Century Gothic" w:hAnsi="Century Gothic" w:cs="Times New Roman"/>
                <w:b/>
                <w:bCs/>
                <w:sz w:val="18"/>
                <w:szCs w:val="18"/>
                <w:lang w:val="uk-UA"/>
              </w:rPr>
            </w:pPr>
            <w:r w:rsidRPr="00FC6A94">
              <w:rPr>
                <w:rFonts w:ascii="Century Gothic" w:hAnsi="Century Gothic" w:cs="Times New Roman"/>
                <w:b/>
                <w:bCs/>
                <w:sz w:val="18"/>
                <w:szCs w:val="18"/>
                <w:lang w:val="uk-UA"/>
              </w:rPr>
              <w:t>Коментар, якщо Так</w:t>
            </w:r>
          </w:p>
        </w:tc>
      </w:tr>
      <w:tr w:rsidR="00D753E3" w:rsidRPr="001E78A3" w14:paraId="11EF0156" w14:textId="77777777" w:rsidTr="00376F8A">
        <w:trPr>
          <w:trHeight w:val="957"/>
        </w:trPr>
        <w:tc>
          <w:tcPr>
            <w:tcW w:w="816" w:type="dxa"/>
          </w:tcPr>
          <w:p w14:paraId="3FFE9C6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1.</w:t>
            </w:r>
          </w:p>
        </w:tc>
        <w:tc>
          <w:tcPr>
            <w:tcW w:w="4537" w:type="dxa"/>
          </w:tcPr>
          <w:p w14:paraId="25C294F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Чи є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власниками фінансових інструментів, емітованих Банком або юридичної особи, пов'язаної з Банком спільною власністю, фінансова звітність якої підлягає перевірці, або юридичної особи, пов'язаної з Банком спільною власністю, контролем та управлінням, крім тих, що належать Банку опосередковано через інститути спільного інвестування?</w:t>
            </w:r>
          </w:p>
        </w:tc>
        <w:tc>
          <w:tcPr>
            <w:tcW w:w="3119" w:type="dxa"/>
          </w:tcPr>
          <w:p w14:paraId="34D9FCD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29C5523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243B38CD" w14:textId="77777777" w:rsidTr="00376F8A">
        <w:trPr>
          <w:trHeight w:val="692"/>
        </w:trPr>
        <w:tc>
          <w:tcPr>
            <w:tcW w:w="816" w:type="dxa"/>
          </w:tcPr>
          <w:p w14:paraId="19130A6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2 </w:t>
            </w:r>
          </w:p>
        </w:tc>
        <w:tc>
          <w:tcPr>
            <w:tcW w:w="4537" w:type="dxa"/>
          </w:tcPr>
          <w:p w14:paraId="0A83A45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бере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участь в операціях з фінансовими інструментами, емітованими, гарантованими або іншим чином підтримуваними Банком, якому надаються аудиторські послуги, крім операцій у межах інститутів спільного інвестування? </w:t>
            </w:r>
          </w:p>
        </w:tc>
        <w:tc>
          <w:tcPr>
            <w:tcW w:w="3119" w:type="dxa"/>
          </w:tcPr>
          <w:p w14:paraId="7744153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09EEABA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2189DC8D" w14:textId="77777777" w:rsidTr="00376F8A">
        <w:trPr>
          <w:trHeight w:val="690"/>
        </w:trPr>
        <w:tc>
          <w:tcPr>
            <w:tcW w:w="816" w:type="dxa"/>
          </w:tcPr>
          <w:p w14:paraId="0EFEC6E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3 </w:t>
            </w:r>
          </w:p>
        </w:tc>
        <w:tc>
          <w:tcPr>
            <w:tcW w:w="4537" w:type="dxa"/>
          </w:tcPr>
          <w:p w14:paraId="5F202DE7"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перебував суб'єкт аудиторської діяльності, його ключові партнери з аудиту, його власники (засновники, учасники), посадові особи і працівники та інші особи, залучені до надання таких послуг, а також близькі родичі та члени сім'ї зазначених осіб, - протягом періодів, зазначених у частині першій ст.10 ЗУ Про аудит, у трудових, договірних або інших відносинах з Банком, якому надаються аудиторські послуги, що можуть призвести до конфлікту інтересів? </w:t>
            </w:r>
          </w:p>
        </w:tc>
        <w:tc>
          <w:tcPr>
            <w:tcW w:w="3119" w:type="dxa"/>
          </w:tcPr>
          <w:p w14:paraId="708DEF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10261F4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пп.4 Закону про аудит </w:t>
            </w:r>
          </w:p>
        </w:tc>
      </w:tr>
      <w:tr w:rsidR="00D753E3" w:rsidRPr="001E78A3" w14:paraId="006FB3C8" w14:textId="77777777" w:rsidTr="00376F8A">
        <w:trPr>
          <w:trHeight w:val="808"/>
        </w:trPr>
        <w:tc>
          <w:tcPr>
            <w:tcW w:w="816" w:type="dxa"/>
          </w:tcPr>
          <w:p w14:paraId="40DEE23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 </w:t>
            </w:r>
          </w:p>
        </w:tc>
        <w:tc>
          <w:tcPr>
            <w:tcW w:w="4537" w:type="dxa"/>
          </w:tcPr>
          <w:p w14:paraId="41984AE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Аудитор, ключовий партнер з аудиту, посадові особи і працівники суб'єкта аудиторської діяльності та інші залучені особи, які брали участь у наданні послуг з обов'язкового аудиту фінансової звітності Банку, протягом щонайменше одного року, а у разі проведення обов'язкового аудиту фінансової звітності Банку - протягом щонайменше двох років після надання відповідних послуг, чи здійснювали наступну діяльність: </w:t>
            </w:r>
          </w:p>
        </w:tc>
        <w:tc>
          <w:tcPr>
            <w:tcW w:w="3119" w:type="dxa"/>
          </w:tcPr>
          <w:p w14:paraId="0A7DE58C" w14:textId="77777777" w:rsidR="00D753E3" w:rsidRPr="001E78A3" w:rsidRDefault="00D753E3" w:rsidP="00376F8A">
            <w:pPr>
              <w:autoSpaceDE w:val="0"/>
              <w:autoSpaceDN w:val="0"/>
              <w:adjustRightInd w:val="0"/>
              <w:spacing w:after="0" w:line="240" w:lineRule="auto"/>
              <w:jc w:val="center"/>
              <w:rPr>
                <w:rFonts w:ascii="Century Gothic" w:hAnsi="Century Gothic" w:cs="Times New Roman"/>
                <w:sz w:val="18"/>
                <w:szCs w:val="18"/>
                <w:lang w:val="uk-UA"/>
              </w:rPr>
            </w:pPr>
            <w:r w:rsidRPr="001E78A3">
              <w:rPr>
                <w:rFonts w:ascii="Century Gothic" w:hAnsi="Century Gothic" w:cs="Times New Roman"/>
                <w:sz w:val="18"/>
                <w:szCs w:val="18"/>
                <w:lang w:val="uk-UA"/>
              </w:rPr>
              <w:t>Зазначити, якщо надавалися аудиторські послуги Банку</w:t>
            </w:r>
          </w:p>
        </w:tc>
        <w:tc>
          <w:tcPr>
            <w:tcW w:w="1304" w:type="dxa"/>
          </w:tcPr>
          <w:p w14:paraId="1ADBE1BC"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Ст.10 пп.8 Закон про аудит </w:t>
            </w:r>
          </w:p>
        </w:tc>
      </w:tr>
      <w:tr w:rsidR="00D753E3" w:rsidRPr="001E78A3" w14:paraId="4B1D05EF" w14:textId="77777777" w:rsidTr="00376F8A">
        <w:trPr>
          <w:trHeight w:val="292"/>
        </w:trPr>
        <w:tc>
          <w:tcPr>
            <w:tcW w:w="816" w:type="dxa"/>
          </w:tcPr>
          <w:p w14:paraId="5850A1E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.1 </w:t>
            </w:r>
          </w:p>
        </w:tc>
        <w:tc>
          <w:tcPr>
            <w:tcW w:w="4537" w:type="dxa"/>
          </w:tcPr>
          <w:p w14:paraId="285FCEC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обіймали керівні посади в органі управління Банку? </w:t>
            </w:r>
          </w:p>
        </w:tc>
        <w:tc>
          <w:tcPr>
            <w:tcW w:w="3119" w:type="dxa"/>
          </w:tcPr>
          <w:p w14:paraId="7E8C352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63E108D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4322E313" w14:textId="77777777" w:rsidTr="00376F8A">
        <w:trPr>
          <w:trHeight w:val="325"/>
        </w:trPr>
        <w:tc>
          <w:tcPr>
            <w:tcW w:w="816" w:type="dxa"/>
          </w:tcPr>
          <w:p w14:paraId="337975E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4</w:t>
            </w:r>
            <w:r w:rsidRPr="001E78A3">
              <w:rPr>
                <w:rFonts w:ascii="Century Gothic" w:hAnsi="Century Gothic" w:cs="Times New Roman"/>
                <w:sz w:val="18"/>
                <w:szCs w:val="18"/>
                <w:lang w:val="uk-UA"/>
              </w:rPr>
              <w:t xml:space="preserve">.2 </w:t>
            </w:r>
          </w:p>
        </w:tc>
        <w:tc>
          <w:tcPr>
            <w:tcW w:w="4537" w:type="dxa"/>
          </w:tcPr>
          <w:p w14:paraId="55ACA463"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призначалися членом аудиторського комітету Банку? </w:t>
            </w:r>
          </w:p>
        </w:tc>
        <w:tc>
          <w:tcPr>
            <w:tcW w:w="3119" w:type="dxa"/>
          </w:tcPr>
          <w:p w14:paraId="5B2B4DC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2753564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28E2615" w14:textId="77777777" w:rsidTr="00376F8A">
        <w:trPr>
          <w:trHeight w:val="425"/>
        </w:trPr>
        <w:tc>
          <w:tcPr>
            <w:tcW w:w="816" w:type="dxa"/>
          </w:tcPr>
          <w:p w14:paraId="2C6E299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lastRenderedPageBreak/>
              <w:t>4</w:t>
            </w:r>
            <w:r w:rsidRPr="001E78A3">
              <w:rPr>
                <w:rFonts w:ascii="Century Gothic" w:hAnsi="Century Gothic" w:cs="Times New Roman"/>
                <w:sz w:val="18"/>
                <w:szCs w:val="18"/>
                <w:lang w:val="uk-UA"/>
              </w:rPr>
              <w:t xml:space="preserve">.3 </w:t>
            </w:r>
          </w:p>
        </w:tc>
        <w:tc>
          <w:tcPr>
            <w:tcW w:w="4537" w:type="dxa"/>
          </w:tcPr>
          <w:p w14:paraId="193E6FF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призначалися (були обраними) членом адміністративного або наглядового органу Банку? </w:t>
            </w:r>
          </w:p>
        </w:tc>
        <w:tc>
          <w:tcPr>
            <w:tcW w:w="3119" w:type="dxa"/>
          </w:tcPr>
          <w:p w14:paraId="0B59C54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Pr>
          <w:p w14:paraId="0DF1DBE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56EA5763" w14:textId="77777777" w:rsidTr="00376F8A">
        <w:trPr>
          <w:trHeight w:val="293"/>
        </w:trPr>
        <w:tc>
          <w:tcPr>
            <w:tcW w:w="816" w:type="dxa"/>
          </w:tcPr>
          <w:p w14:paraId="72579C1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 </w:t>
            </w:r>
          </w:p>
        </w:tc>
        <w:tc>
          <w:tcPr>
            <w:tcW w:w="4537" w:type="dxa"/>
          </w:tcPr>
          <w:p w14:paraId="260BFB7E"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виконуються вимоги Закону про аудит щодо обмеження на одночасне надання Банку </w:t>
            </w:r>
          </w:p>
        </w:tc>
        <w:tc>
          <w:tcPr>
            <w:tcW w:w="3119" w:type="dxa"/>
          </w:tcPr>
          <w:p w14:paraId="34BBE239" w14:textId="77777777" w:rsidR="00D753E3" w:rsidRPr="001E78A3" w:rsidRDefault="00D753E3" w:rsidP="00376F8A">
            <w:pPr>
              <w:autoSpaceDE w:val="0"/>
              <w:autoSpaceDN w:val="0"/>
              <w:adjustRightInd w:val="0"/>
              <w:spacing w:after="0" w:line="240" w:lineRule="auto"/>
              <w:jc w:val="center"/>
              <w:rPr>
                <w:rFonts w:ascii="Century Gothic" w:hAnsi="Century Gothic" w:cs="Times New Roman"/>
                <w:sz w:val="18"/>
                <w:szCs w:val="18"/>
                <w:lang w:val="uk-UA"/>
              </w:rPr>
            </w:pPr>
            <w:r w:rsidRPr="001E78A3">
              <w:rPr>
                <w:rFonts w:ascii="Century Gothic" w:hAnsi="Century Gothic" w:cs="Times New Roman"/>
                <w:sz w:val="18"/>
                <w:szCs w:val="18"/>
                <w:lang w:val="uk-UA"/>
              </w:rPr>
              <w:t>Зазначити, якщо надавалися аудиторські послуги Банку</w:t>
            </w:r>
          </w:p>
        </w:tc>
        <w:tc>
          <w:tcPr>
            <w:tcW w:w="1304" w:type="dxa"/>
            <w:tcBorders>
              <w:bottom w:val="single" w:sz="4" w:space="0" w:color="auto"/>
            </w:tcBorders>
          </w:tcPr>
          <w:p w14:paraId="26E2693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Пп.4 Ст.6 Закон про аудит </w:t>
            </w:r>
          </w:p>
        </w:tc>
      </w:tr>
      <w:tr w:rsidR="00D753E3" w:rsidRPr="001E78A3" w14:paraId="35ABA1CA" w14:textId="77777777" w:rsidTr="00376F8A">
        <w:tblPrEx>
          <w:tblBorders>
            <w:top w:val="nil"/>
            <w:left w:val="nil"/>
            <w:bottom w:val="nil"/>
            <w:right w:val="nil"/>
          </w:tblBorders>
        </w:tblPrEx>
        <w:trPr>
          <w:trHeight w:val="892"/>
        </w:trPr>
        <w:tc>
          <w:tcPr>
            <w:tcW w:w="816" w:type="dxa"/>
            <w:tcBorders>
              <w:top w:val="single" w:sz="4" w:space="0" w:color="auto"/>
              <w:left w:val="single" w:sz="4" w:space="0" w:color="auto"/>
              <w:bottom w:val="single" w:sz="4" w:space="0" w:color="auto"/>
              <w:right w:val="single" w:sz="4" w:space="0" w:color="auto"/>
            </w:tcBorders>
          </w:tcPr>
          <w:p w14:paraId="772761F4"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.1 </w:t>
            </w:r>
          </w:p>
        </w:tc>
        <w:tc>
          <w:tcPr>
            <w:tcW w:w="4537" w:type="dxa"/>
            <w:tcBorders>
              <w:top w:val="single" w:sz="4" w:space="0" w:color="auto"/>
              <w:left w:val="single" w:sz="4" w:space="0" w:color="auto"/>
              <w:bottom w:val="single" w:sz="4" w:space="0" w:color="auto"/>
              <w:right w:val="single" w:sz="4" w:space="0" w:color="auto"/>
            </w:tcBorders>
          </w:tcPr>
          <w:p w14:paraId="3CE5CA8C"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складання податкової звітності, розрахунку податків, інших обов’язкових зборів та платежів, представництва юридичних осіб у спорах із зазначених питань; </w:t>
            </w:r>
          </w:p>
        </w:tc>
        <w:tc>
          <w:tcPr>
            <w:tcW w:w="3119" w:type="dxa"/>
            <w:tcBorders>
              <w:top w:val="single" w:sz="4" w:space="0" w:color="auto"/>
              <w:bottom w:val="single" w:sz="4" w:space="0" w:color="auto"/>
              <w:right w:val="single" w:sz="4" w:space="0" w:color="auto"/>
            </w:tcBorders>
          </w:tcPr>
          <w:p w14:paraId="56982EE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74C502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D69D807" w14:textId="77777777" w:rsidTr="00376F8A">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14:paraId="146A900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5.1.1.</w:t>
            </w:r>
          </w:p>
        </w:tc>
        <w:tc>
          <w:tcPr>
            <w:tcW w:w="4537" w:type="dxa"/>
            <w:tcBorders>
              <w:top w:val="single" w:sz="4" w:space="0" w:color="auto"/>
              <w:left w:val="single" w:sz="4" w:space="0" w:color="auto"/>
              <w:bottom w:val="single" w:sz="4" w:space="0" w:color="auto"/>
              <w:right w:val="single" w:sz="4" w:space="0" w:color="auto"/>
            </w:tcBorders>
          </w:tcPr>
          <w:p w14:paraId="57237D75"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надання консультаційних послуг з питань оподаткування, а також, у разі, коли допомога суб’єкта аудиторської діяльності не вимагається законодавством, послуг з визначення</w:t>
            </w:r>
          </w:p>
          <w:p w14:paraId="0790DE7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державних дотацій та податкових пільг;</w:t>
            </w:r>
          </w:p>
        </w:tc>
        <w:tc>
          <w:tcPr>
            <w:tcW w:w="3119" w:type="dxa"/>
            <w:tcBorders>
              <w:top w:val="single" w:sz="4" w:space="0" w:color="auto"/>
              <w:bottom w:val="single" w:sz="4" w:space="0" w:color="auto"/>
              <w:right w:val="single" w:sz="4" w:space="0" w:color="auto"/>
            </w:tcBorders>
          </w:tcPr>
          <w:p w14:paraId="5BB2BFA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736FA71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7C2180E" w14:textId="77777777" w:rsidTr="00376F8A">
        <w:tblPrEx>
          <w:tblBorders>
            <w:top w:val="nil"/>
            <w:left w:val="nil"/>
            <w:bottom w:val="nil"/>
            <w:right w:val="nil"/>
            <w:insideH w:val="none" w:sz="0" w:space="0" w:color="auto"/>
            <w:insideV w:val="none" w:sz="0" w:space="0" w:color="auto"/>
          </w:tblBorders>
        </w:tblPrEx>
        <w:trPr>
          <w:trHeight w:val="292"/>
        </w:trPr>
        <w:tc>
          <w:tcPr>
            <w:tcW w:w="816" w:type="dxa"/>
            <w:tcBorders>
              <w:top w:val="single" w:sz="4" w:space="0" w:color="auto"/>
              <w:left w:val="single" w:sz="4" w:space="0" w:color="auto"/>
              <w:bottom w:val="single" w:sz="4" w:space="0" w:color="auto"/>
              <w:right w:val="single" w:sz="4" w:space="0" w:color="auto"/>
            </w:tcBorders>
          </w:tcPr>
          <w:p w14:paraId="009140B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.2 </w:t>
            </w:r>
          </w:p>
        </w:tc>
        <w:tc>
          <w:tcPr>
            <w:tcW w:w="4537" w:type="dxa"/>
            <w:tcBorders>
              <w:top w:val="single" w:sz="4" w:space="0" w:color="auto"/>
              <w:left w:val="single" w:sz="4" w:space="0" w:color="auto"/>
              <w:bottom w:val="single" w:sz="4" w:space="0" w:color="auto"/>
              <w:right w:val="single" w:sz="4" w:space="0" w:color="auto"/>
            </w:tcBorders>
          </w:tcPr>
          <w:p w14:paraId="5F6C5A7C"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що передбачають участь у процесі прийняття управлінських рішень або виконання будь-яких функцій з управління підприємством, що становить суспільний інтерес,</w:t>
            </w:r>
          </w:p>
          <w:p w14:paraId="5AD8351E"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якому надаються послуги з обов’язкового аудиту; </w:t>
            </w:r>
          </w:p>
        </w:tc>
        <w:tc>
          <w:tcPr>
            <w:tcW w:w="3119" w:type="dxa"/>
            <w:tcBorders>
              <w:top w:val="single" w:sz="4" w:space="0" w:color="auto"/>
              <w:left w:val="single" w:sz="4" w:space="0" w:color="auto"/>
              <w:bottom w:val="single" w:sz="4" w:space="0" w:color="auto"/>
              <w:right w:val="single" w:sz="4" w:space="0" w:color="auto"/>
            </w:tcBorders>
          </w:tcPr>
          <w:p w14:paraId="337A9EA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022670C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5A81BFF4" w14:textId="77777777" w:rsidTr="00376F8A">
        <w:tblPrEx>
          <w:tblBorders>
            <w:top w:val="nil"/>
            <w:left w:val="nil"/>
            <w:bottom w:val="nil"/>
            <w:right w:val="nil"/>
            <w:insideH w:val="none" w:sz="0" w:space="0" w:color="auto"/>
            <w:insideV w:val="none" w:sz="0" w:space="0" w:color="auto"/>
          </w:tblBorders>
        </w:tblPrEx>
        <w:trPr>
          <w:trHeight w:val="293"/>
        </w:trPr>
        <w:tc>
          <w:tcPr>
            <w:tcW w:w="816" w:type="dxa"/>
            <w:tcBorders>
              <w:top w:val="single" w:sz="4" w:space="0" w:color="auto"/>
              <w:left w:val="single" w:sz="4" w:space="0" w:color="auto"/>
              <w:bottom w:val="single" w:sz="4" w:space="0" w:color="auto"/>
              <w:right w:val="single" w:sz="4" w:space="0" w:color="auto"/>
            </w:tcBorders>
          </w:tcPr>
          <w:p w14:paraId="0C2191A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.3 </w:t>
            </w:r>
          </w:p>
        </w:tc>
        <w:tc>
          <w:tcPr>
            <w:tcW w:w="4537" w:type="dxa"/>
            <w:tcBorders>
              <w:top w:val="single" w:sz="4" w:space="0" w:color="auto"/>
              <w:left w:val="single" w:sz="4" w:space="0" w:color="auto"/>
              <w:bottom w:val="single" w:sz="4" w:space="0" w:color="auto"/>
              <w:right w:val="single" w:sz="4" w:space="0" w:color="auto"/>
            </w:tcBorders>
          </w:tcPr>
          <w:p w14:paraId="7EDE7A5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ведення бухгалтерського обліку і складання фінансової звітності; </w:t>
            </w:r>
          </w:p>
        </w:tc>
        <w:tc>
          <w:tcPr>
            <w:tcW w:w="3119" w:type="dxa"/>
            <w:tcBorders>
              <w:top w:val="single" w:sz="4" w:space="0" w:color="auto"/>
              <w:bottom w:val="single" w:sz="4" w:space="0" w:color="auto"/>
              <w:right w:val="single" w:sz="4" w:space="0" w:color="auto"/>
            </w:tcBorders>
          </w:tcPr>
          <w:p w14:paraId="3808CD1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44B1226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651EAA6C" w14:textId="77777777" w:rsidTr="00376F8A">
        <w:tblPrEx>
          <w:tblBorders>
            <w:top w:val="nil"/>
            <w:left w:val="nil"/>
            <w:bottom w:val="nil"/>
            <w:right w:val="nil"/>
            <w:insideH w:val="none" w:sz="0" w:space="0" w:color="auto"/>
            <w:insideV w:val="none" w:sz="0" w:space="0" w:color="auto"/>
          </w:tblBorders>
        </w:tblPrEx>
        <w:trPr>
          <w:trHeight w:val="558"/>
        </w:trPr>
        <w:tc>
          <w:tcPr>
            <w:tcW w:w="816" w:type="dxa"/>
            <w:tcBorders>
              <w:top w:val="single" w:sz="4" w:space="0" w:color="auto"/>
              <w:left w:val="single" w:sz="4" w:space="0" w:color="auto"/>
              <w:bottom w:val="single" w:sz="4" w:space="0" w:color="auto"/>
              <w:right w:val="single" w:sz="4" w:space="0" w:color="auto"/>
            </w:tcBorders>
          </w:tcPr>
          <w:p w14:paraId="3EADDB1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.4 </w:t>
            </w:r>
          </w:p>
        </w:tc>
        <w:tc>
          <w:tcPr>
            <w:tcW w:w="4537" w:type="dxa"/>
            <w:tcBorders>
              <w:top w:val="single" w:sz="4" w:space="0" w:color="auto"/>
              <w:left w:val="single" w:sz="4" w:space="0" w:color="auto"/>
              <w:bottom w:val="single" w:sz="4" w:space="0" w:color="auto"/>
              <w:right w:val="single" w:sz="4" w:space="0" w:color="auto"/>
            </w:tcBorders>
          </w:tcPr>
          <w:p w14:paraId="2EBBE1D2"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розробка та впровадження процедур внутрішнього контролю або процедур з управління ризиками, що пов’язані з формуванням фінансової інформації, а також розробка та впровадження інформаційних систем, пов’язаних з фінансовою інформацією; </w:t>
            </w:r>
          </w:p>
        </w:tc>
        <w:tc>
          <w:tcPr>
            <w:tcW w:w="3119" w:type="dxa"/>
            <w:tcBorders>
              <w:top w:val="single" w:sz="4" w:space="0" w:color="auto"/>
              <w:bottom w:val="single" w:sz="4" w:space="0" w:color="auto"/>
              <w:right w:val="single" w:sz="4" w:space="0" w:color="auto"/>
            </w:tcBorders>
          </w:tcPr>
          <w:p w14:paraId="78D2F98C"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50BC5BE8"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5D959625" w14:textId="77777777" w:rsidTr="00376F8A">
        <w:tblPrEx>
          <w:tblBorders>
            <w:top w:val="nil"/>
            <w:left w:val="nil"/>
            <w:bottom w:val="nil"/>
            <w:right w:val="nil"/>
            <w:insideH w:val="none" w:sz="0" w:space="0" w:color="auto"/>
            <w:insideV w:val="none" w:sz="0" w:space="0" w:color="auto"/>
          </w:tblBorders>
        </w:tblPrEx>
        <w:trPr>
          <w:trHeight w:val="692"/>
        </w:trPr>
        <w:tc>
          <w:tcPr>
            <w:tcW w:w="816" w:type="dxa"/>
            <w:tcBorders>
              <w:top w:val="single" w:sz="4" w:space="0" w:color="auto"/>
              <w:left w:val="single" w:sz="4" w:space="0" w:color="auto"/>
              <w:bottom w:val="single" w:sz="4" w:space="0" w:color="auto"/>
              <w:right w:val="single" w:sz="4" w:space="0" w:color="auto"/>
            </w:tcBorders>
          </w:tcPr>
          <w:p w14:paraId="647CD49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.5 </w:t>
            </w:r>
          </w:p>
        </w:tc>
        <w:tc>
          <w:tcPr>
            <w:tcW w:w="4537" w:type="dxa"/>
            <w:tcBorders>
              <w:top w:val="single" w:sz="4" w:space="0" w:color="auto"/>
              <w:left w:val="single" w:sz="4" w:space="0" w:color="auto"/>
              <w:bottom w:val="single" w:sz="4" w:space="0" w:color="auto"/>
              <w:right w:val="single" w:sz="4" w:space="0" w:color="auto"/>
            </w:tcBorders>
          </w:tcPr>
          <w:p w14:paraId="23F47927"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надання правової допомоги у формі: послуг юрисконсульта із забезпечення ведення господарської діяльності; ведення переговорів від імені юридичних осіб; представництва інтересів у суді; </w:t>
            </w:r>
          </w:p>
        </w:tc>
        <w:tc>
          <w:tcPr>
            <w:tcW w:w="3119" w:type="dxa"/>
            <w:tcBorders>
              <w:top w:val="single" w:sz="4" w:space="0" w:color="auto"/>
              <w:bottom w:val="single" w:sz="4" w:space="0" w:color="auto"/>
              <w:right w:val="single" w:sz="4" w:space="0" w:color="auto"/>
            </w:tcBorders>
          </w:tcPr>
          <w:p w14:paraId="74D88DE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32C8D4B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2D227850" w14:textId="77777777" w:rsidTr="00376F8A">
        <w:tblPrEx>
          <w:tblBorders>
            <w:top w:val="nil"/>
            <w:left w:val="nil"/>
            <w:bottom w:val="nil"/>
            <w:right w:val="nil"/>
            <w:insideH w:val="none" w:sz="0" w:space="0" w:color="auto"/>
            <w:insideV w:val="none" w:sz="0" w:space="0" w:color="auto"/>
          </w:tblBorders>
        </w:tblPrEx>
        <w:trPr>
          <w:trHeight w:val="824"/>
        </w:trPr>
        <w:tc>
          <w:tcPr>
            <w:tcW w:w="816" w:type="dxa"/>
            <w:tcBorders>
              <w:top w:val="single" w:sz="4" w:space="0" w:color="auto"/>
              <w:left w:val="single" w:sz="4" w:space="0" w:color="auto"/>
              <w:bottom w:val="single" w:sz="4" w:space="0" w:color="auto"/>
              <w:right w:val="single" w:sz="4" w:space="0" w:color="auto"/>
            </w:tcBorders>
          </w:tcPr>
          <w:p w14:paraId="4EADFA9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.6 </w:t>
            </w:r>
          </w:p>
        </w:tc>
        <w:tc>
          <w:tcPr>
            <w:tcW w:w="4537" w:type="dxa"/>
            <w:tcBorders>
              <w:top w:val="single" w:sz="4" w:space="0" w:color="auto"/>
              <w:left w:val="single" w:sz="4" w:space="0" w:color="auto"/>
              <w:bottom w:val="single" w:sz="4" w:space="0" w:color="auto"/>
              <w:right w:val="single" w:sz="4" w:space="0" w:color="auto"/>
            </w:tcBorders>
          </w:tcPr>
          <w:p w14:paraId="03730A9D"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кадрове забезпечення юридичних осіб у сфері бухгалтерського обліку, оподаткування та фінансів, у тому числі послуги з надання персоналу, що приймає управлінські рішення та відповідає за складання фінансової звітності; </w:t>
            </w:r>
          </w:p>
        </w:tc>
        <w:tc>
          <w:tcPr>
            <w:tcW w:w="3119" w:type="dxa"/>
            <w:tcBorders>
              <w:top w:val="single" w:sz="4" w:space="0" w:color="auto"/>
              <w:bottom w:val="single" w:sz="4" w:space="0" w:color="auto"/>
              <w:right w:val="single" w:sz="4" w:space="0" w:color="auto"/>
            </w:tcBorders>
          </w:tcPr>
          <w:p w14:paraId="6F6ACC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6F305B1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791D90F5" w14:textId="77777777" w:rsidTr="00376F8A">
        <w:tblPrEx>
          <w:tblBorders>
            <w:top w:val="nil"/>
            <w:left w:val="nil"/>
            <w:bottom w:val="nil"/>
            <w:right w:val="nil"/>
            <w:insideH w:val="none" w:sz="0" w:space="0" w:color="auto"/>
            <w:insideV w:val="none" w:sz="0" w:space="0" w:color="auto"/>
          </w:tblBorders>
        </w:tblPrEx>
        <w:trPr>
          <w:trHeight w:val="160"/>
        </w:trPr>
        <w:tc>
          <w:tcPr>
            <w:tcW w:w="816" w:type="dxa"/>
            <w:tcBorders>
              <w:top w:val="single" w:sz="4" w:space="0" w:color="auto"/>
              <w:left w:val="single" w:sz="4" w:space="0" w:color="auto"/>
              <w:bottom w:val="single" w:sz="4" w:space="0" w:color="auto"/>
              <w:right w:val="single" w:sz="4" w:space="0" w:color="auto"/>
            </w:tcBorders>
          </w:tcPr>
          <w:p w14:paraId="1E6E668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.7 </w:t>
            </w:r>
          </w:p>
        </w:tc>
        <w:tc>
          <w:tcPr>
            <w:tcW w:w="4537" w:type="dxa"/>
            <w:tcBorders>
              <w:top w:val="single" w:sz="4" w:space="0" w:color="auto"/>
              <w:left w:val="single" w:sz="4" w:space="0" w:color="auto"/>
              <w:bottom w:val="single" w:sz="4" w:space="0" w:color="auto"/>
              <w:right w:val="single" w:sz="4" w:space="0" w:color="auto"/>
            </w:tcBorders>
          </w:tcPr>
          <w:p w14:paraId="0C5F7414" w14:textId="77777777" w:rsidR="00D753E3" w:rsidRPr="001E78A3" w:rsidRDefault="00D753E3" w:rsidP="00376F8A">
            <w:pPr>
              <w:tabs>
                <w:tab w:val="center" w:pos="4677"/>
                <w:tab w:val="right" w:pos="9355"/>
              </w:tabs>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послуги з оцінки, у тому числі виконані у зв’язку з наданням </w:t>
            </w:r>
            <w:proofErr w:type="spellStart"/>
            <w:r w:rsidRPr="001E78A3">
              <w:rPr>
                <w:rFonts w:ascii="Century Gothic" w:hAnsi="Century Gothic" w:cs="Times New Roman"/>
                <w:sz w:val="18"/>
                <w:szCs w:val="18"/>
                <w:lang w:val="uk-UA"/>
              </w:rPr>
              <w:t>актуарних</w:t>
            </w:r>
            <w:proofErr w:type="spellEnd"/>
            <w:r w:rsidRPr="001E78A3">
              <w:rPr>
                <w:rFonts w:ascii="Century Gothic" w:hAnsi="Century Gothic" w:cs="Times New Roman"/>
                <w:sz w:val="18"/>
                <w:szCs w:val="18"/>
                <w:lang w:val="uk-UA"/>
              </w:rPr>
              <w:t xml:space="preserve"> послуг чи послуг супроводу судового процесу; </w:t>
            </w:r>
          </w:p>
        </w:tc>
        <w:tc>
          <w:tcPr>
            <w:tcW w:w="3119" w:type="dxa"/>
            <w:tcBorders>
              <w:top w:val="single" w:sz="4" w:space="0" w:color="auto"/>
              <w:bottom w:val="single" w:sz="4" w:space="0" w:color="auto"/>
              <w:right w:val="single" w:sz="4" w:space="0" w:color="auto"/>
            </w:tcBorders>
          </w:tcPr>
          <w:p w14:paraId="44F4D77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7FFBC766"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441ABFD6" w14:textId="77777777" w:rsidTr="00376F8A">
        <w:tblPrEx>
          <w:tblBorders>
            <w:top w:val="nil"/>
            <w:left w:val="nil"/>
            <w:bottom w:val="nil"/>
            <w:right w:val="nil"/>
            <w:insideH w:val="none" w:sz="0" w:space="0" w:color="auto"/>
            <w:insideV w:val="none" w:sz="0" w:space="0" w:color="auto"/>
          </w:tblBorders>
        </w:tblPrEx>
        <w:trPr>
          <w:trHeight w:val="1090"/>
        </w:trPr>
        <w:tc>
          <w:tcPr>
            <w:tcW w:w="816" w:type="dxa"/>
            <w:tcBorders>
              <w:top w:val="single" w:sz="4" w:space="0" w:color="auto"/>
              <w:left w:val="single" w:sz="4" w:space="0" w:color="auto"/>
              <w:bottom w:val="single" w:sz="4" w:space="0" w:color="auto"/>
              <w:right w:val="single" w:sz="4" w:space="0" w:color="auto"/>
            </w:tcBorders>
          </w:tcPr>
          <w:p w14:paraId="7E4EFF6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5</w:t>
            </w:r>
            <w:r w:rsidRPr="001E78A3">
              <w:rPr>
                <w:rFonts w:ascii="Century Gothic" w:hAnsi="Century Gothic" w:cs="Times New Roman"/>
                <w:sz w:val="18"/>
                <w:szCs w:val="18"/>
                <w:lang w:val="uk-UA"/>
              </w:rPr>
              <w:t xml:space="preserve">.8 </w:t>
            </w:r>
          </w:p>
        </w:tc>
        <w:tc>
          <w:tcPr>
            <w:tcW w:w="4537" w:type="dxa"/>
            <w:tcBorders>
              <w:top w:val="single" w:sz="4" w:space="0" w:color="auto"/>
              <w:left w:val="single" w:sz="4" w:space="0" w:color="auto"/>
              <w:bottom w:val="single" w:sz="4" w:space="0" w:color="auto"/>
              <w:right w:val="single" w:sz="4" w:space="0" w:color="auto"/>
            </w:tcBorders>
          </w:tcPr>
          <w:p w14:paraId="37A95B7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послуги, пов'язані із залученням фінансування, розподілом прибутку, розробкою інвестиційної стратегії, окрім послуг з надання впевненості щодо фінансової інформації, зокрема проведення процедур, необхідних для підготовки, обговорення та випуску листів-підтверджень у зв'язку з емісією цінних паперів юридичних осіб. </w:t>
            </w:r>
          </w:p>
        </w:tc>
        <w:tc>
          <w:tcPr>
            <w:tcW w:w="3119" w:type="dxa"/>
            <w:tcBorders>
              <w:top w:val="single" w:sz="4" w:space="0" w:color="auto"/>
              <w:bottom w:val="single" w:sz="4" w:space="0" w:color="auto"/>
              <w:right w:val="single" w:sz="4" w:space="0" w:color="auto"/>
            </w:tcBorders>
          </w:tcPr>
          <w:p w14:paraId="772631CD"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0F517C50"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376F8A" w14:paraId="2DF158B9" w14:textId="77777777" w:rsidTr="00376F8A">
        <w:tblPrEx>
          <w:tblBorders>
            <w:top w:val="nil"/>
            <w:left w:val="nil"/>
            <w:bottom w:val="nil"/>
            <w:right w:val="nil"/>
            <w:insideH w:val="none" w:sz="0" w:space="0" w:color="auto"/>
            <w:insideV w:val="none" w:sz="0" w:space="0" w:color="auto"/>
          </w:tblBorders>
        </w:tblPrEx>
        <w:trPr>
          <w:trHeight w:val="685"/>
        </w:trPr>
        <w:tc>
          <w:tcPr>
            <w:tcW w:w="816" w:type="dxa"/>
            <w:tcBorders>
              <w:top w:val="single" w:sz="4" w:space="0" w:color="auto"/>
              <w:left w:val="single" w:sz="4" w:space="0" w:color="auto"/>
              <w:bottom w:val="single" w:sz="4" w:space="0" w:color="auto"/>
              <w:right w:val="single" w:sz="4" w:space="0" w:color="auto"/>
            </w:tcBorders>
          </w:tcPr>
          <w:p w14:paraId="513E461D" w14:textId="77777777" w:rsidR="00D753E3" w:rsidRPr="001E78A3" w:rsidRDefault="00D753E3" w:rsidP="00376F8A">
            <w:pPr>
              <w:tabs>
                <w:tab w:val="center" w:pos="4677"/>
                <w:tab w:val="right" w:pos="9355"/>
              </w:tabs>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5.9.</w:t>
            </w:r>
          </w:p>
        </w:tc>
        <w:tc>
          <w:tcPr>
            <w:tcW w:w="4537" w:type="dxa"/>
            <w:tcBorders>
              <w:top w:val="single" w:sz="4" w:space="0" w:color="auto"/>
              <w:left w:val="single" w:sz="4" w:space="0" w:color="auto"/>
              <w:bottom w:val="single" w:sz="4" w:space="0" w:color="auto"/>
              <w:right w:val="single" w:sz="4" w:space="0" w:color="auto"/>
            </w:tcBorders>
          </w:tcPr>
          <w:p w14:paraId="5D14AA6A"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пов’язані з функцією внутрішнього аудиту Банку, якому надаються послуги з обов’язкового аудиту фінансової звітності;</w:t>
            </w:r>
          </w:p>
        </w:tc>
        <w:tc>
          <w:tcPr>
            <w:tcW w:w="3119" w:type="dxa"/>
            <w:tcBorders>
              <w:top w:val="single" w:sz="4" w:space="0" w:color="auto"/>
              <w:bottom w:val="single" w:sz="4" w:space="0" w:color="auto"/>
              <w:right w:val="single" w:sz="4" w:space="0" w:color="auto"/>
            </w:tcBorders>
          </w:tcPr>
          <w:p w14:paraId="7CDA8337"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65E8C59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49BB2C9D" w14:textId="77777777" w:rsidTr="00376F8A">
        <w:tblPrEx>
          <w:tblBorders>
            <w:top w:val="nil"/>
            <w:left w:val="nil"/>
            <w:bottom w:val="nil"/>
            <w:right w:val="nil"/>
            <w:insideH w:val="none" w:sz="0" w:space="0" w:color="auto"/>
            <w:insideV w:val="none" w:sz="0" w:space="0" w:color="auto"/>
          </w:tblBorders>
        </w:tblPrEx>
        <w:trPr>
          <w:trHeight w:val="729"/>
        </w:trPr>
        <w:tc>
          <w:tcPr>
            <w:tcW w:w="816" w:type="dxa"/>
            <w:tcBorders>
              <w:top w:val="single" w:sz="4" w:space="0" w:color="auto"/>
              <w:left w:val="single" w:sz="4" w:space="0" w:color="auto"/>
              <w:bottom w:val="single" w:sz="4" w:space="0" w:color="auto"/>
              <w:right w:val="single" w:sz="4" w:space="0" w:color="auto"/>
            </w:tcBorders>
          </w:tcPr>
          <w:p w14:paraId="1EE57864" w14:textId="77777777" w:rsidR="00D753E3" w:rsidRPr="001E78A3" w:rsidRDefault="00D753E3" w:rsidP="00376F8A">
            <w:pPr>
              <w:tabs>
                <w:tab w:val="center" w:pos="4677"/>
                <w:tab w:val="right" w:pos="9355"/>
              </w:tabs>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5.10</w:t>
            </w:r>
          </w:p>
        </w:tc>
        <w:tc>
          <w:tcPr>
            <w:tcW w:w="4537" w:type="dxa"/>
            <w:tcBorders>
              <w:top w:val="single" w:sz="4" w:space="0" w:color="auto"/>
              <w:left w:val="single" w:sz="4" w:space="0" w:color="auto"/>
              <w:bottom w:val="single" w:sz="4" w:space="0" w:color="auto"/>
              <w:right w:val="single" w:sz="4" w:space="0" w:color="auto"/>
            </w:tcBorders>
          </w:tcPr>
          <w:p w14:paraId="64485D3B"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послуги, пов’язані з просуванням акцій Банку, якому надаються послуги з обов’язково аудиту, торгівля чи підписка на акції Банку</w:t>
            </w:r>
          </w:p>
        </w:tc>
        <w:tc>
          <w:tcPr>
            <w:tcW w:w="3119" w:type="dxa"/>
            <w:tcBorders>
              <w:top w:val="single" w:sz="4" w:space="0" w:color="auto"/>
              <w:bottom w:val="single" w:sz="4" w:space="0" w:color="auto"/>
              <w:right w:val="single" w:sz="4" w:space="0" w:color="auto"/>
            </w:tcBorders>
          </w:tcPr>
          <w:p w14:paraId="472D9685"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left w:val="single" w:sz="4" w:space="0" w:color="auto"/>
              <w:bottom w:val="single" w:sz="4" w:space="0" w:color="auto"/>
              <w:right w:val="single" w:sz="4" w:space="0" w:color="auto"/>
            </w:tcBorders>
          </w:tcPr>
          <w:p w14:paraId="3AF4505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r>
      <w:tr w:rsidR="00D753E3" w:rsidRPr="001E78A3" w14:paraId="1C7C7729" w14:textId="77777777" w:rsidTr="00376F8A">
        <w:tblPrEx>
          <w:tblBorders>
            <w:top w:val="nil"/>
            <w:left w:val="nil"/>
            <w:bottom w:val="nil"/>
            <w:right w:val="nil"/>
            <w:insideH w:val="none" w:sz="0" w:space="0" w:color="auto"/>
            <w:insideV w:val="none" w:sz="0" w:space="0" w:color="auto"/>
          </w:tblBorders>
        </w:tblPrEx>
        <w:trPr>
          <w:trHeight w:val="428"/>
        </w:trPr>
        <w:tc>
          <w:tcPr>
            <w:tcW w:w="816" w:type="dxa"/>
            <w:tcBorders>
              <w:top w:val="single" w:sz="4" w:space="0" w:color="auto"/>
              <w:left w:val="single" w:sz="4" w:space="0" w:color="auto"/>
              <w:bottom w:val="single" w:sz="4" w:space="0" w:color="auto"/>
              <w:right w:val="single" w:sz="4" w:space="0" w:color="auto"/>
            </w:tcBorders>
          </w:tcPr>
          <w:p w14:paraId="2CAB6B69"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6</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74475F5"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Винагорода суб'єкта аудиторської діяльності за надання послуг з аудиту фінансової звітності Банку чи залежить від надання Банку неаудиторських послуг, а також договірних відносин або домовленостей, не пов'язаних з наданням послуг з аудиту фінансової звітності? </w:t>
            </w:r>
          </w:p>
        </w:tc>
        <w:tc>
          <w:tcPr>
            <w:tcW w:w="3119" w:type="dxa"/>
            <w:tcBorders>
              <w:top w:val="single" w:sz="4" w:space="0" w:color="auto"/>
              <w:left w:val="single" w:sz="4" w:space="0" w:color="auto"/>
              <w:bottom w:val="single" w:sz="4" w:space="0" w:color="auto"/>
              <w:right w:val="single" w:sz="4" w:space="0" w:color="auto"/>
            </w:tcBorders>
          </w:tcPr>
          <w:p w14:paraId="286E178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289D350" w14:textId="77777777" w:rsidR="00D753E3" w:rsidRPr="001E78A3" w:rsidRDefault="00D753E3" w:rsidP="00376F8A">
            <w:pPr>
              <w:pStyle w:val="Default"/>
              <w:rPr>
                <w:rFonts w:ascii="Century Gothic" w:hAnsi="Century Gothic" w:cs="Times New Roman"/>
                <w:color w:val="auto"/>
                <w:sz w:val="18"/>
                <w:szCs w:val="18"/>
                <w:lang w:val="uk-UA"/>
              </w:rPr>
            </w:pPr>
            <w:r w:rsidRPr="001E78A3">
              <w:rPr>
                <w:rFonts w:ascii="Century Gothic" w:hAnsi="Century Gothic" w:cs="Times New Roman"/>
                <w:color w:val="auto"/>
                <w:sz w:val="18"/>
                <w:szCs w:val="18"/>
                <w:lang w:val="uk-UA"/>
              </w:rPr>
              <w:t xml:space="preserve">Пп.1 Ст.26 Закон про аудит </w:t>
            </w:r>
          </w:p>
        </w:tc>
      </w:tr>
      <w:tr w:rsidR="00D753E3" w:rsidRPr="001E78A3" w14:paraId="5D670C2B"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6DF4243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lastRenderedPageBreak/>
              <w:t>7</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A1EB816"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Чи надає, та скільки років поспіль суб'єкт аудиторської діяльності Банку, його материнській компанії та/або дочірнім підприємствам послуги, не пов'язані з обов'язковим аудитом фінансової звітності, крім тих, що зазначені у частині четвертій статті 6 Закону про аудит? Чи перевищує винагорода Банку, його материнській компанії та/або дочірнім підприємствам послуги, не пов'язані з обов'язковим аудитом фінансової звітності 70 відсотків середньої суми винагороди, що була отримана суб'єктом аудиторської діяльності протягом останніх трьох років поспіль за послуги з обов'язкового аудиту фінансової звітності від Банку, його материнської компанії та/або дочірніх підприємств?</w:t>
            </w:r>
          </w:p>
        </w:tc>
        <w:tc>
          <w:tcPr>
            <w:tcW w:w="3119" w:type="dxa"/>
            <w:tcBorders>
              <w:top w:val="single" w:sz="4" w:space="0" w:color="auto"/>
              <w:left w:val="single" w:sz="4" w:space="0" w:color="auto"/>
              <w:bottom w:val="single" w:sz="4" w:space="0" w:color="auto"/>
              <w:right w:val="single" w:sz="4" w:space="0" w:color="auto"/>
            </w:tcBorders>
          </w:tcPr>
          <w:p w14:paraId="1788F6F1"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7C7631F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Пп.3ст.26 Закон про аудит</w:t>
            </w:r>
          </w:p>
        </w:tc>
      </w:tr>
      <w:tr w:rsidR="00D753E3" w:rsidRPr="001E78A3" w14:paraId="23006D53"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554AC62E"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8</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30A1B684"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надавались послуги з обов'язкового аудиту фінансової звітності Банку, та загальна сума винагороди, отримана від Банку, щорічно перевищувала 15 відсотків загальної суми чистого доходу від надання послуг таким суб'єктом аудиторської діяльності впродовж п'яти років поспіль? Якщо так, то надати розрахунок. </w:t>
            </w:r>
          </w:p>
        </w:tc>
        <w:tc>
          <w:tcPr>
            <w:tcW w:w="3119" w:type="dxa"/>
            <w:tcBorders>
              <w:top w:val="single" w:sz="4" w:space="0" w:color="auto"/>
              <w:left w:val="single" w:sz="4" w:space="0" w:color="auto"/>
              <w:bottom w:val="single" w:sz="4" w:space="0" w:color="auto"/>
              <w:right w:val="single" w:sz="4" w:space="0" w:color="auto"/>
            </w:tcBorders>
          </w:tcPr>
          <w:p w14:paraId="46E3BDB2"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29F1240A"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Пп.5. ст.26 Закон про аудит</w:t>
            </w:r>
          </w:p>
        </w:tc>
      </w:tr>
      <w:tr w:rsidR="00D753E3" w:rsidRPr="001E78A3" w14:paraId="2597A437" w14:textId="77777777" w:rsidTr="00376F8A">
        <w:tblPrEx>
          <w:tblBorders>
            <w:top w:val="nil"/>
            <w:left w:val="nil"/>
            <w:bottom w:val="nil"/>
            <w:right w:val="nil"/>
            <w:insideH w:val="none" w:sz="0" w:space="0" w:color="auto"/>
            <w:insideV w:val="none" w:sz="0" w:space="0" w:color="auto"/>
          </w:tblBorders>
        </w:tblPrEx>
        <w:trPr>
          <w:trHeight w:val="1487"/>
        </w:trPr>
        <w:tc>
          <w:tcPr>
            <w:tcW w:w="816" w:type="dxa"/>
            <w:tcBorders>
              <w:top w:val="single" w:sz="4" w:space="0" w:color="auto"/>
              <w:left w:val="single" w:sz="4" w:space="0" w:color="auto"/>
              <w:bottom w:val="single" w:sz="4" w:space="0" w:color="auto"/>
              <w:right w:val="single" w:sz="4" w:space="0" w:color="auto"/>
            </w:tcBorders>
          </w:tcPr>
          <w:p w14:paraId="626ECCE3"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en-US"/>
              </w:rPr>
              <w:t>9</w:t>
            </w:r>
            <w:r w:rsidRPr="001E78A3">
              <w:rPr>
                <w:rFonts w:ascii="Century Gothic" w:hAnsi="Century Gothic" w:cs="Times New Roman"/>
                <w:sz w:val="18"/>
                <w:szCs w:val="18"/>
                <w:lang w:val="uk-UA"/>
              </w:rPr>
              <w:t xml:space="preserve"> </w:t>
            </w:r>
          </w:p>
        </w:tc>
        <w:tc>
          <w:tcPr>
            <w:tcW w:w="4537" w:type="dxa"/>
            <w:tcBorders>
              <w:top w:val="single" w:sz="4" w:space="0" w:color="auto"/>
              <w:left w:val="single" w:sz="4" w:space="0" w:color="auto"/>
              <w:bottom w:val="single" w:sz="4" w:space="0" w:color="auto"/>
              <w:right w:val="single" w:sz="4" w:space="0" w:color="auto"/>
            </w:tcBorders>
          </w:tcPr>
          <w:p w14:paraId="4FB70219" w14:textId="77777777" w:rsidR="00D753E3" w:rsidRPr="001E78A3" w:rsidRDefault="00D753E3" w:rsidP="00376F8A">
            <w:pPr>
              <w:autoSpaceDE w:val="0"/>
              <w:autoSpaceDN w:val="0"/>
              <w:adjustRightInd w:val="0"/>
              <w:spacing w:after="0" w:line="240" w:lineRule="auto"/>
              <w:jc w:val="both"/>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Чи здійснює суб'єкт аудиторської діяльності, або учасник аудиторської мережі, до якої належить такий суб'єкт аудиторської діяльності, безпосередньо або опосередковано надання Банку, його материнській компанії (резиденту України)  та/або дочірнім підприємствам (резидентам України) послуги, зазначені у частині четвертій статті 6 Закону про аудит? Якщо так, то надати перелік послуг. </w:t>
            </w:r>
          </w:p>
        </w:tc>
        <w:tc>
          <w:tcPr>
            <w:tcW w:w="3119" w:type="dxa"/>
            <w:tcBorders>
              <w:top w:val="single" w:sz="4" w:space="0" w:color="auto"/>
              <w:left w:val="single" w:sz="4" w:space="0" w:color="auto"/>
              <w:bottom w:val="single" w:sz="4" w:space="0" w:color="auto"/>
              <w:right w:val="single" w:sz="4" w:space="0" w:color="auto"/>
            </w:tcBorders>
          </w:tcPr>
          <w:p w14:paraId="3AD8468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p>
        </w:tc>
        <w:tc>
          <w:tcPr>
            <w:tcW w:w="1304" w:type="dxa"/>
            <w:tcBorders>
              <w:top w:val="single" w:sz="4" w:space="0" w:color="auto"/>
              <w:bottom w:val="single" w:sz="4" w:space="0" w:color="auto"/>
              <w:right w:val="single" w:sz="4" w:space="0" w:color="auto"/>
            </w:tcBorders>
          </w:tcPr>
          <w:p w14:paraId="1617AEBF" w14:textId="77777777" w:rsidR="00D753E3" w:rsidRPr="001E78A3" w:rsidRDefault="00D753E3" w:rsidP="00376F8A">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Пп.1 ст.27 Закон про аудит </w:t>
            </w:r>
          </w:p>
        </w:tc>
      </w:tr>
    </w:tbl>
    <w:p w14:paraId="458388C1" w14:textId="77777777" w:rsidR="00D753E3" w:rsidRPr="001E78A3" w:rsidRDefault="00D753E3" w:rsidP="00D753E3">
      <w:pPr>
        <w:autoSpaceDE w:val="0"/>
        <w:autoSpaceDN w:val="0"/>
        <w:adjustRightInd w:val="0"/>
        <w:spacing w:after="0" w:line="240" w:lineRule="auto"/>
        <w:rPr>
          <w:rFonts w:ascii="Century Gothic" w:hAnsi="Century Gothic" w:cs="Times New Roman"/>
          <w:sz w:val="18"/>
          <w:szCs w:val="18"/>
          <w:lang w:val="uk-UA"/>
        </w:rPr>
      </w:pPr>
    </w:p>
    <w:p w14:paraId="6222257C" w14:textId="77777777" w:rsidR="00D753E3" w:rsidRPr="001E78A3" w:rsidRDefault="00D753E3" w:rsidP="00D753E3">
      <w:pPr>
        <w:autoSpaceDE w:val="0"/>
        <w:autoSpaceDN w:val="0"/>
        <w:adjustRightInd w:val="0"/>
        <w:spacing w:after="0" w:line="240" w:lineRule="auto"/>
        <w:rPr>
          <w:rFonts w:ascii="Century Gothic" w:hAnsi="Century Gothic" w:cs="Times New Roman"/>
          <w:sz w:val="18"/>
          <w:szCs w:val="18"/>
          <w:lang w:val="uk-UA"/>
        </w:rPr>
      </w:pPr>
      <w:r w:rsidRPr="001E78A3">
        <w:rPr>
          <w:rFonts w:ascii="Century Gothic" w:hAnsi="Century Gothic" w:cs="Times New Roman"/>
          <w:sz w:val="18"/>
          <w:szCs w:val="18"/>
          <w:lang w:val="uk-UA"/>
        </w:rPr>
        <w:t xml:space="preserve">Керівник аудиторської фірми </w:t>
      </w:r>
    </w:p>
    <w:p w14:paraId="5304E9ED" w14:textId="77777777" w:rsidR="00D753E3" w:rsidRPr="001E78A3" w:rsidRDefault="00D753E3" w:rsidP="00D753E3">
      <w:pPr>
        <w:tabs>
          <w:tab w:val="left" w:pos="1350"/>
        </w:tabs>
        <w:jc w:val="both"/>
        <w:rPr>
          <w:rFonts w:ascii="Century Gothic" w:hAnsi="Century Gothic" w:cs="Times New Roman"/>
          <w:sz w:val="18"/>
          <w:szCs w:val="18"/>
          <w:lang w:val="uk-UA"/>
        </w:rPr>
      </w:pPr>
      <w:r w:rsidRPr="001E78A3">
        <w:rPr>
          <w:rFonts w:ascii="Century Gothic" w:hAnsi="Century Gothic" w:cs="Times New Roman"/>
          <w:sz w:val="18"/>
          <w:szCs w:val="18"/>
          <w:lang w:val="uk-UA"/>
        </w:rPr>
        <w:t>Дата, підпис</w:t>
      </w:r>
    </w:p>
    <w:p w14:paraId="7E8F07CE" w14:textId="77777777" w:rsidR="00D753E3" w:rsidRPr="001E78A3" w:rsidRDefault="00D753E3" w:rsidP="00D753E3">
      <w:pPr>
        <w:tabs>
          <w:tab w:val="left" w:pos="1350"/>
        </w:tabs>
        <w:jc w:val="both"/>
        <w:rPr>
          <w:rFonts w:ascii="Century Gothic" w:hAnsi="Century Gothic" w:cs="Times New Roman"/>
          <w:sz w:val="18"/>
          <w:szCs w:val="18"/>
          <w:lang w:val="uk-UA"/>
        </w:rPr>
      </w:pPr>
      <w:r w:rsidRPr="001E78A3">
        <w:rPr>
          <w:rFonts w:ascii="Century Gothic" w:hAnsi="Century Gothic" w:cs="Times New Roman"/>
          <w:sz w:val="18"/>
          <w:szCs w:val="18"/>
          <w:lang w:val="uk-UA"/>
        </w:rPr>
        <w:t>Печатка (за наявності)</w:t>
      </w:r>
    </w:p>
    <w:p w14:paraId="6E4B9773" w14:textId="141FBB8C" w:rsidR="002F3E5D" w:rsidRPr="001E78A3" w:rsidRDefault="002F3E5D" w:rsidP="00D753E3">
      <w:pPr>
        <w:pStyle w:val="a3"/>
        <w:ind w:left="0"/>
        <w:contextualSpacing w:val="0"/>
        <w:jc w:val="right"/>
        <w:rPr>
          <w:rFonts w:ascii="Century Gothic" w:hAnsi="Century Gothic"/>
          <w:sz w:val="18"/>
          <w:szCs w:val="18"/>
          <w:lang w:val="uk-UA"/>
        </w:rPr>
      </w:pPr>
    </w:p>
    <w:sectPr w:rsidR="002F3E5D" w:rsidRPr="001E7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E5D"/>
    <w:rsid w:val="00074C2D"/>
    <w:rsid w:val="002F3E5D"/>
    <w:rsid w:val="00D753E3"/>
    <w:rsid w:val="00FE343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AFE7"/>
  <w15:chartTrackingRefBased/>
  <w15:docId w15:val="{EE0ABC57-27D2-49DD-980D-BC495659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E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Normal bullet 2,Bullets,Heading Bullet,text bullet,List Numbers,Elenco Normale"/>
    <w:basedOn w:val="a"/>
    <w:link w:val="a4"/>
    <w:uiPriority w:val="34"/>
    <w:qFormat/>
    <w:rsid w:val="002F3E5D"/>
    <w:pPr>
      <w:spacing w:after="0" w:line="240" w:lineRule="auto"/>
      <w:ind w:left="720"/>
      <w:contextualSpacing/>
    </w:pPr>
    <w:rPr>
      <w:rFonts w:ascii="Times New Roman" w:eastAsia="Arial Unicode MS" w:hAnsi="Times New Roman" w:cs="Arial Unicode MS"/>
      <w:color w:val="000000"/>
      <w:kern w:val="0"/>
      <w:sz w:val="24"/>
      <w:szCs w:val="24"/>
      <w:u w:color="000000"/>
      <w:lang w:val="ru-RU"/>
      <w14:ligatures w14:val="none"/>
    </w:rPr>
  </w:style>
  <w:style w:type="character" w:customStyle="1" w:styleId="a4">
    <w:name w:val="Абзац списка Знак"/>
    <w:aliases w:val="Normal bullet 2 Знак,Bullets Знак,Heading Bullet Знак,text bullet Знак,List Numbers Знак,Elenco Normale Знак"/>
    <w:basedOn w:val="a0"/>
    <w:link w:val="a3"/>
    <w:uiPriority w:val="34"/>
    <w:rsid w:val="002F3E5D"/>
    <w:rPr>
      <w:rFonts w:ascii="Times New Roman" w:eastAsia="Arial Unicode MS" w:hAnsi="Times New Roman" w:cs="Arial Unicode MS"/>
      <w:color w:val="000000"/>
      <w:kern w:val="0"/>
      <w:sz w:val="24"/>
      <w:szCs w:val="24"/>
      <w:u w:color="000000"/>
      <w:lang w:val="ru-RU"/>
      <w14:ligatures w14:val="none"/>
    </w:rPr>
  </w:style>
  <w:style w:type="paragraph" w:styleId="a5">
    <w:name w:val="Normal (Web)"/>
    <w:aliases w:val="Обычный (веб)"/>
    <w:basedOn w:val="a"/>
    <w:uiPriority w:val="99"/>
    <w:unhideWhenUsed/>
    <w:rsid w:val="002F3E5D"/>
    <w:pPr>
      <w:suppressAutoHyphens/>
      <w:spacing w:after="0" w:line="276" w:lineRule="auto"/>
      <w:ind w:hanging="357"/>
      <w:contextualSpacing/>
      <w:jc w:val="both"/>
    </w:pPr>
    <w:rPr>
      <w:rFonts w:ascii="Verdana" w:eastAsia="Times New Roman" w:hAnsi="Verdana" w:cs="Times New Roman"/>
      <w:kern w:val="0"/>
      <w:sz w:val="20"/>
      <w:szCs w:val="20"/>
      <w:lang w:val="uk-UA" w:eastAsia="uk-UA"/>
      <w14:ligatures w14:val="none"/>
    </w:rPr>
  </w:style>
  <w:style w:type="character" w:styleId="a6">
    <w:name w:val="Strong"/>
    <w:uiPriority w:val="22"/>
    <w:qFormat/>
    <w:rsid w:val="002F3E5D"/>
    <w:rPr>
      <w:b/>
      <w:bCs/>
    </w:rPr>
  </w:style>
  <w:style w:type="paragraph" w:customStyle="1" w:styleId="Default">
    <w:name w:val="Default"/>
    <w:rsid w:val="00D753E3"/>
    <w:pPr>
      <w:autoSpaceDE w:val="0"/>
      <w:autoSpaceDN w:val="0"/>
      <w:adjustRightInd w:val="0"/>
      <w:spacing w:after="0" w:line="240" w:lineRule="auto"/>
    </w:pPr>
    <w:rPr>
      <w:rFonts w:ascii="Tahoma" w:hAnsi="Tahoma" w:cs="Tahoma"/>
      <w:color w:val="000000"/>
      <w:kern w:val="0"/>
      <w:sz w:val="24"/>
      <w:szCs w:val="24"/>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986</Words>
  <Characters>5626</Characters>
  <Application>Microsoft Office Word</Application>
  <DocSecurity>0</DocSecurity>
  <Lines>46</Lines>
  <Paragraphs>13</Paragraphs>
  <ScaleCrop>false</ScaleCrop>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Tymchenko Olena</dc:creator>
  <cp:keywords/>
  <dc:description/>
  <cp:lastModifiedBy>Tymchenko Olena</cp:lastModifiedBy>
  <cp:revision>2</cp:revision>
  <dcterms:created xsi:type="dcterms:W3CDTF">2024-08-09T12:23:00Z</dcterms:created>
  <dcterms:modified xsi:type="dcterms:W3CDTF">2024-08-09T12:23:00Z</dcterms:modified>
</cp:coreProperties>
</file>